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3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0" w:lineRule="exact"/>
        <w:rPr>
          <w:sz w:val="24"/>
          <w:szCs w:val="24"/>
          <w:color w:val="auto"/>
        </w:rPr>
      </w:pP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60" w:type="dxa"/>
        <w:tblCellMar>
          <w:top w:w="0" w:type="dxa"/>
          <w:left w:w="0" w:type="dxa"/>
          <w:bottom w:w="0" w:type="dxa"/>
          <w:right w:w="0" w:type="dxa"/>
        </w:tblCellMar>
      </w:tblPr>
      <w:tr>
        <w:trPr>
          <w:trHeight w:val="227"/>
        </w:trPr>
        <w:tc>
          <w:tcPr>
            <w:tcW w:w="226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000-30171</w:t>
            </w:r>
          </w:p>
        </w:tc>
        <w:tc>
          <w:tcPr>
            <w:tcW w:w="1600" w:type="dxa"/>
            <w:vAlign w:val="bottom"/>
          </w:tcPr>
          <w:p>
            <w:pPr>
              <w:jc w:val="center"/>
              <w:ind w:left="582"/>
              <w:spacing w:after="0"/>
              <w:rPr>
                <w:sz w:val="20"/>
                <w:szCs w:val="20"/>
                <w:color w:val="auto"/>
              </w:rPr>
            </w:pPr>
            <w:r>
              <w:rPr>
                <w:rFonts w:ascii="Times New Roman" w:cs="Times New Roman" w:eastAsia="Times New Roman" w:hAnsi="Times New Roman"/>
                <w:sz w:val="18"/>
                <w:szCs w:val="18"/>
                <w:b w:val="1"/>
                <w:bCs w:val="1"/>
                <w:color w:val="auto"/>
                <w:w w:val="98"/>
              </w:rPr>
              <w:t>68-0359556</w:t>
            </w:r>
          </w:p>
        </w:tc>
      </w:tr>
      <w:tr>
        <w:trPr>
          <w:trHeight w:val="149"/>
        </w:trPr>
        <w:tc>
          <w:tcPr>
            <w:tcW w:w="226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80" w:type="dxa"/>
            <w:vAlign w:val="bottom"/>
          </w:tcPr>
          <w:p>
            <w:pPr>
              <w:ind w:left="2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6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1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ID Number)</w:t>
            </w:r>
          </w:p>
        </w:tc>
      </w:tr>
      <w:tr>
        <w:trPr>
          <w:trHeight w:val="429"/>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501 Canal Blvd., Richmond, California 94804</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00" w:type="dxa"/>
            <w:vAlign w:val="bottom"/>
          </w:tcPr>
          <w:p>
            <w:pPr>
              <w:spacing w:after="0"/>
              <w:rPr>
                <w:sz w:val="16"/>
                <w:szCs w:val="16"/>
                <w:color w:val="auto"/>
              </w:rPr>
            </w:pPr>
          </w:p>
        </w:tc>
      </w:tr>
      <w:tr>
        <w:trPr>
          <w:trHeight w:val="312"/>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(510) 970-6000</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0" w:type="dxa"/>
            <w:vAlign w:val="bottom"/>
          </w:tcPr>
          <w:p>
            <w:pPr>
              <w:spacing w:after="0"/>
              <w:rPr>
                <w:sz w:val="16"/>
                <w:szCs w:val="16"/>
                <w:color w:val="auto"/>
              </w:rPr>
            </w:pPr>
          </w:p>
        </w:tc>
      </w:tr>
      <w:tr>
        <w:trPr>
          <w:trHeight w:val="320"/>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00" w:type="dxa"/>
            <w:vAlign w:val="bottom"/>
          </w:tcPr>
          <w:p>
            <w:pPr>
              <w:spacing w:after="0"/>
              <w:rPr>
                <w:sz w:val="16"/>
                <w:szCs w:val="16"/>
                <w:color w:val="auto"/>
              </w:rPr>
            </w:pPr>
          </w:p>
        </w:tc>
      </w:tr>
    </w:tbl>
    <w:p>
      <w:pPr>
        <w:spacing w:after="0" w:line="129" w:lineRule="exact"/>
        <w:rPr>
          <w:sz w:val="24"/>
          <w:szCs w:val="24"/>
          <w:color w:val="auto"/>
        </w:rPr>
      </w:pPr>
    </w:p>
    <w:p>
      <w:pPr>
        <w:jc w:val="center"/>
        <w:ind w:left="420"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60" w:firstLine="26"/>
        <w:spacing w:after="0" w:line="360" w:lineRule="auto"/>
        <w:tabs>
          <w:tab w:leader="none" w:pos="7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SGMO</w:t>
            </w:r>
          </w:p>
        </w:tc>
        <w:tc>
          <w:tcPr>
            <w:tcW w:w="3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229" w:lineRule="exact"/>
        <w:rPr>
          <w:sz w:val="24"/>
          <w:szCs w:val="24"/>
          <w:color w:val="auto"/>
        </w:rPr>
      </w:pPr>
    </w:p>
    <w:p>
      <w:pPr>
        <w:jc w:val="both"/>
        <w:ind w:right="4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Notice of Delisting or Failure to Satisfy a Continued Listing Rule or Standard; Transfer of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previously reported, on April 30, 2025, Sangamo Therapeutics, Inc. (the “Company”) received a written notice (the “Notice”) from the Listing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Qualifications Department (the “Staff”) of The Nasdaq Stock Market LLC (“Nasdaq”) notifying the Company that because the closing bid price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had fallen below $1.00 per share for 30 consecutive business days, it no longer complied with the minimum bid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(the “Minimum Bid Price Requirement”) for continued listing under Nasdaq Listing Rule 5550(a)(2) on The Nasdaq Capital Market.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was provided until October 27, 2025 to regain compliance with the Minimum Bid Price Requirement. Also as previously reported,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the Company received an additional notification from the Staff that while the Company had not regained compliance with the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 Price Requirement, it was eligible for an additional 180-day compliance period, or until April 27, 2026, to regain compliance with the Minimum Bid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Requirement.</w:t>
      </w:r>
    </w:p>
    <w:p>
      <w:pPr>
        <w:spacing w:after="0" w:line="9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On April 28, 2026, the Company received a written notification (the “Delisting Notice”) from the Staff of its determination to delist the Company’s common stock as a result of the Company’s ongoing failure to comply with the Minimum Bid Price Requirement. The Delisting Notice also stated that trading in the Company’s common stock on The Nasdaq Capital Market will be suspended at the open of trading on May 5, 2026.</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plans to request a hearing before a Nasdaq Hearings Panel (the “Panel”) pursuant to the procedures set forth in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Nasdaq Listing Rule 5800 Series for the purpose of appealing the Staff’s delisting determination. However, pursuant to Nasdaq Listing Rule 5815(a)(1)(B) (ii)(d), a timely request for a hearing will stay delisting but will not stay the trading suspension of the Company’s common stock. The Company’s common stock will remain suspended from trading on The Nasdaq Capital Market unless the Panel’s decision issued after the hearing ultimately determines to reinstate trading of the securities on The Nasdaq Capital Market.</w:t>
      </w:r>
    </w:p>
    <w:p>
      <w:pPr>
        <w:spacing w:after="0" w:line="81"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The Company has received approval for its common stock to be quoted on the OTCQB Venture Market, an over-the-counter market operated by OTC Markets Group, and expects trading on OTCQB to commence on May 5, 2026 under its existing symbol “SGMO.”</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includes forward-looking statements within the meaning of Section 27A of the Securities Act of 1933, as amended, and Section 21E of the Securities Exchange Act of 1934, as amended. All statements contained in this Current Report on Form 8-K that do not relate to matters of historical fact should be considered forward-looking statements, including, but not limited to, the Company’s expectation that it will commence trading its common stock on the OTCQB Venture Market and the timing thereof, and the Company’s expectations concerning a request for a hearing before the Panel. Forward-looking statements involve known and unknown risks, uncertainties and assumptions which may cause actual results to differ materially from any results expressed or implied by any forward-looking statement, including, but not limited to, the important factors outlined under the caption “Risk Factors” in the Company’s Annual Report on Form 10-K filed with the Securities and Exchange Commission (“SEC”) on March 30, 2026, as such factors may be updated from time to time in its other filings with the SEC, The Company has no obligation, and does not undertake any obligation, to update or revise any forward-looking statement made in this Current Report on Form 8-K to reflect changes since the date of this Current Report on Form 8-K,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6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r>
      <w:tr>
        <w:trPr>
          <w:trHeight w:val="50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2026</w:t>
            </w:r>
          </w:p>
        </w:tc>
        <w:tc>
          <w:tcPr>
            <w:tcW w:w="32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B. WILLOUGHBY</w:t>
            </w:r>
          </w:p>
        </w:tc>
      </w:tr>
      <w:tr>
        <w:trPr>
          <w:trHeight w:val="218"/>
        </w:trPr>
        <w:tc>
          <w:tcPr>
            <w:tcW w:w="3860" w:type="dxa"/>
            <w:vAlign w:val="bottom"/>
          </w:tcPr>
          <w:p>
            <w:pPr>
              <w:spacing w:after="0"/>
              <w:rPr>
                <w:sz w:val="18"/>
                <w:szCs w:val="18"/>
                <w:color w:val="auto"/>
              </w:rPr>
            </w:pPr>
          </w:p>
        </w:tc>
        <w:tc>
          <w:tcPr>
            <w:tcW w:w="32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B. Willoughby</w:t>
            </w:r>
          </w:p>
        </w:tc>
      </w:tr>
      <w:tr>
        <w:trPr>
          <w:trHeight w:val="234"/>
        </w:trPr>
        <w:tc>
          <w:tcPr>
            <w:tcW w:w="3860" w:type="dxa"/>
            <w:vAlign w:val="bottom"/>
          </w:tcPr>
          <w:p>
            <w:pPr>
              <w:spacing w:after="0"/>
              <w:rPr>
                <w:sz w:val="20"/>
                <w:szCs w:val="20"/>
                <w:color w:val="auto"/>
              </w:rPr>
            </w:pPr>
          </w:p>
        </w:tc>
        <w:tc>
          <w:tcPr>
            <w:tcW w:w="32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2026-04-29T07:38:49Z</dcterms:created>
  <dcterms:modified xsi:type="dcterms:W3CDTF">2026-04-29T07:38:49Z</dcterms:modified>
</cp:coreProperties>
</file>