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2025</w:t>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SANGAMO THERAPEUTICS, INC.</w:t>
      </w:r>
    </w:p>
    <w:p>
      <w:pPr>
        <w:sectPr>
          <w:pgSz w:w="11900" w:h="16838" w:orient="portrait"/>
          <w:cols w:equalWidth="0" w:num="1">
            <w:col w:w="11080"/>
          </w:cols>
          <w:pgMar w:left="320" w:top="516" w:right="499" w:bottom="1440" w:gutter="0" w:footer="0" w:header="0"/>
        </w:sectPr>
      </w:pPr>
    </w:p>
    <w:p>
      <w:pPr>
        <w:spacing w:after="0" w:line="250"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000-30171</w:t>
      </w:r>
    </w:p>
    <w:p>
      <w:pPr>
        <w:spacing w:after="0" w:line="9" w:lineRule="exact"/>
        <w:rPr>
          <w:sz w:val="24"/>
          <w:szCs w:val="24"/>
          <w:color w:val="auto"/>
        </w:rPr>
      </w:pP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68-0359556</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580" w:space="60"/>
            <w:col w:w="3980" w:space="480"/>
            <w:col w:w="2980"/>
          </w:cols>
          <w:pgMar w:left="320" w:top="516"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501 Canal Blvd., Richmond, California 94084</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1080"/>
          </w:cols>
          <w:pgMar w:left="320" w:top="516" w:right="499" w:bottom="1440" w:gutter="0" w:footer="0" w:header="0"/>
          <w:type w:val="continuous"/>
        </w:sectPr>
      </w:pP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(510) 970-6000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7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516" w:right="499" w:bottom="1440" w:gutter="0" w:footer="0" w:header="0"/>
          <w:type w:val="continuous"/>
        </w:sectPr>
      </w:pPr>
    </w:p>
    <w:p>
      <w:pPr>
        <w:spacing w:after="0" w:line="22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Common Stock, $0.01 par value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SGMO</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Nasdaq Capital Market</w:t>
      </w:r>
    </w:p>
    <w:p>
      <w:pPr>
        <w:spacing w:after="0" w:line="200" w:lineRule="exact"/>
        <w:rPr>
          <w:sz w:val="24"/>
          <w:szCs w:val="24"/>
          <w:color w:val="auto"/>
        </w:rPr>
      </w:pPr>
    </w:p>
    <w:p>
      <w:pPr>
        <w:sectPr>
          <w:pgSz w:w="11900" w:h="16838" w:orient="portrait"/>
          <w:cols w:equalWidth="0" w:num="3">
            <w:col w:w="4300" w:space="720"/>
            <w:col w:w="2120" w:space="720"/>
            <w:col w:w="3220"/>
          </w:cols>
          <w:pgMar w:left="320" w:top="516" w:right="499" w:bottom="1440" w:gutter="0" w:footer="0" w:header="0"/>
          <w:type w:val="continuous"/>
        </w:sectPr>
      </w:pPr>
    </w:p>
    <w:p>
      <w:pPr>
        <w:spacing w:after="0" w:line="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1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May 12, 2025, Sangamo Therapeutics, Inc. (“Sangamo” or the “Company”) entered into an underwriting agreement (the “Underwriting Agreement”) with Cantor Fitzgerald &amp; Co., as representative of the several underwriters named therein (collectively, the “Underwriters”), relating to the issuance and sale (the “Offering”) of 12,235,000 shares of the Company’s common stock, par value $0.01 per share (the “Common Stock”), and pre-funded warrants to purchase 34,398,393 shares of Common Stock (the “Pre-Funded Warrants”), together with accompanying warrants to purchase 46,633,393 shares of Common Stock (the “Purchase Warrants” and together with the Pre-Funded Warrants, the “Warrants”). The combined offering price of each share of Common Stock and accompanying Purchase Warrant is $0.50. The combined offering price of each Pre-Funded Warrant and accompanying Purchase Warrant is $0.49. The Common Stock and Pre-Funded Warrants are being sold in combination with an accompanying Purchase Warrant to purchase one share of Common Stock issued for each share of Common Stock or Pre-Funded Warrant sold. All of the securities in the Offering are being sold by the Company. The gross proceeds to the Company from the Offering, before deducting underwriting discounts and estimated offering expenses, is expected to be approximately $23.0 million. The Offering is expected to close on May 14, 2025, subject to satisfaction of customary closing conditions.</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Pre-Funded Warrant will have an initial exercise price per share of $0.01, subject to certain adjustments. The Pre-Funded Warrants will be exercisable immediately and may be exercised at any time until all of the Pre-Funded Warrants are exercised in full. A holder (together with its affiliates and other attribution parties) may not exercise any portion of a Pre-Funded Warrant to the extent that immediately prior to or after giving effect to such exercise the holder would own more than 4.99% of the Company’s outstanding Common Stock immediately after exercise, which percentage may be changed at the holder's election to a lower or higher percentage not in excess of 19.99% (if exceeding such percentage would result in a change of control under Nasdaq Listing Rule 5635(b) or any successor rule) upon 61 days’ notice to the Company subject to the terms of the Pre-Funded Warrants.</w:t>
      </w:r>
    </w:p>
    <w:p>
      <w:pPr>
        <w:spacing w:after="0" w:line="1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Each Purchase Warrant will have an initial exercise price per share of $0.75, subject to certain adjustments. The Purchase Warrants will be exercisable six months after the date of issuance and may be exercised thereafter at any time until expiration six years after the date of issuance. A holder (together with its affiliates and other attribution parties) may not exercise any portion of a Purchase Warrant to the extent that immediately prior to or after giving effect to such exercise the holder would own more than 4.99% of the Company’s outstanding Common Stock immediately after exercise, which percentage may be changed at the holder's election to a lower or higher percentage not in excess of 19.99% (if exceeding such percentage would result in a change of control under Nasdaq Listing Rule 5635(b) or any successor rule) upon 61 days’ notice to the Company subject to the terms of the Purchase Warrants. Subject to the satisfaction of customary equity conditions as described in the Purchase Warrants, including the 4.99% exercise limitation, at Sangamo’s option after six months from the date of issuance, Sangamo may force the exercise of the Purchase Warrants at any time the weighted-average price of the Common Stock exceeds $2.75 (as adjusted for stock splits, stock dividends, recapitalizations and similar events) for a period of ten consecutive trading days.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Offering is being made pursuant to Sangamo’s effective registration statement on Form S-3 (Registration Statement No. 333-283179) previously filed with the Securities and Exchange Commission (the “SEC”) and a prospectus supplement thereunder.</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arising under the Securities Act of 1933, as amended, other obligations of the parties and termination provisions. The representations, warranties and covenants contained in the Underwriting Agreement were made only for the purposes of such agreement and as of specific dates, and were solely for the benefit of the parties to such agreement.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terms of the Underwriting Agreement and Warrants are each qualified in their entirety by reference to the Underwriting Agreement, form of Pre-Funded Warrant and form of Purchase Warrant, respectively, which are attached as Exhibit 1.1, Exhibit 4.1 and Exhibit 4.2 hereto, respectively, and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legal opinion of Cooley LLP relating to the validity of the issuance and sale of the securities in the Offering is attached as Exhibit 5.1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including, without limitation, statements relating to Sangamo’s expectations regarding the completion of the Offering. These forward-looking statements are based upon Sangamo’s current expectations. Actual results could differ materially from these forward-looking statements as a result of certain factors, including, without limitation, risks and uncertainties related to the satisfaction of customary closing conditions related to the Offering and other risks detailed in Sangamo’s filings with the SEC, including Sangamo’s Annual Report on Form 10-K for the year ended December 31, 2024, Quarterly Report on Form 10-Q for the quarter ended March 31, 2025 and in the prospectus supplement relating to the offering. You are cautioned not to place undue reliance on these forward-looking statements, which speak only as of the date of this report. Sangamo undertakes no duty to update such information except as required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45"/>
        </w:trPr>
        <w:tc>
          <w:tcPr>
            <w:tcW w:w="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1"/>
                <w:szCs w:val="21"/>
                <w:color w:val="auto"/>
              </w:rPr>
            </w:pPr>
          </w:p>
        </w:tc>
        <w:tc>
          <w:tcPr>
            <w:tcW w:w="10300" w:type="dxa"/>
            <w:vAlign w:val="bottom"/>
            <w:tcBorders>
              <w:bottom w:val="single" w:sz="8" w:color="auto"/>
            </w:tcBorders>
          </w:tcPr>
          <w:p>
            <w:pPr>
              <w:ind w:left="4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2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3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Underwriting Agreement, dated May 12, 2025, by and between Sangamo Therapeutics, Inc. and Cantor Fitzgerald &amp; Co., as representative of</w:t>
            </w:r>
          </w:p>
        </w:tc>
      </w:tr>
      <w:tr>
        <w:trPr>
          <w:trHeight w:val="218"/>
        </w:trPr>
        <w:tc>
          <w:tcPr>
            <w:tcW w:w="2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underwriters named therein.</w:t>
            </w:r>
          </w:p>
        </w:tc>
      </w:tr>
      <w:tr>
        <w:trPr>
          <w:trHeight w:val="194"/>
        </w:trPr>
        <w:tc>
          <w:tcPr>
            <w:tcW w:w="26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52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Pre-Funded Warrant to Purchase Common Stock.</w:t>
            </w:r>
          </w:p>
        </w:tc>
      </w:tr>
      <w:tr>
        <w:trPr>
          <w:trHeight w:val="196"/>
        </w:trPr>
        <w:tc>
          <w:tcPr>
            <w:tcW w:w="2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Form of Purchase Warrant to Purchase Common Stock.</w:t>
            </w: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Opinion of Cooley LLP.</w:t>
            </w:r>
          </w:p>
        </w:tc>
      </w:tr>
      <w:tr>
        <w:trPr>
          <w:trHeight w:val="196"/>
        </w:trPr>
        <w:tc>
          <w:tcPr>
            <w:tcW w:w="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5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Consent of Cooley LLP (included in Exhibit 5.1).</w:t>
            </w:r>
          </w:p>
        </w:tc>
      </w:tr>
      <w:tr>
        <w:trPr>
          <w:trHeight w:val="237"/>
        </w:trPr>
        <w:tc>
          <w:tcPr>
            <w:tcW w:w="3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10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398"/>
        </w:trPr>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B. WILLOUGHBY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B. Willoughby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Legal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SANGAMO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12,235,000 Shares of Common Stock par value $0.01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Pre-Funded Warrants to Purchase up to 34,398,393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 to Purchase up to 46,633,393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May 12,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Representative of the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59th Street,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Sangamo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listed in Schedule 1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you are acting as representative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an aggregate of (i) 12,235,000 shares of common stock,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(ii) pre-funded warrants to purchase up to an aggregate of 34,398,393 shares of Common Stock at an exercise price of $0.01 per share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(iii) warrants to purchase up to an aggregate of 46,633,393 shares of Common Stock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together with the Shares and the Pre-Funded Warrants, the “</w:t>
      </w:r>
      <w:r>
        <w:rPr>
          <w:rFonts w:ascii="Times New Roman" w:cs="Times New Roman" w:eastAsia="Times New Roman" w:hAnsi="Times New Roman"/>
          <w:sz w:val="18"/>
          <w:szCs w:val="18"/>
          <w:b w:val="1"/>
          <w:bCs w:val="1"/>
          <w:color w:val="auto"/>
        </w:rPr>
        <w:t>Underwritten Securities</w:t>
      </w:r>
      <w:r>
        <w:rPr>
          <w:rFonts w:ascii="Times New Roman" w:cs="Times New Roman" w:eastAsia="Times New Roman" w:hAnsi="Times New Roman"/>
          <w:sz w:val="18"/>
          <w:szCs w:val="18"/>
          <w:color w:val="auto"/>
        </w:rPr>
        <w:t>”). The Common Stock issuable upon the exercise of the Pre-Funded Warrants is referred to herein as the “</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The Common Stock issuable upon the exercise of the Warrants is referred to herein as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The Underwritten Securities, the Pre-Funded Warrant Shares and the Warrant Shares are herein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shares of Common Stock of the Company to be outstanding after giving effect to the sale of the Shares are referred to herein as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To the extent there are no additional Underwriters listed on Schedule 1 other than you, the term Representative as used herein shall mean you, as Underwriter, and the terms Representative and Underwriters shall mean either the singular or plural as the context requires.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Securities, as follows:</w:t>
      </w:r>
    </w:p>
    <w:p>
      <w:pPr>
        <w:spacing w:after="0" w:line="221" w:lineRule="exact"/>
        <w:rPr>
          <w:sz w:val="20"/>
          <w:szCs w:val="20"/>
          <w:color w:val="auto"/>
        </w:rPr>
      </w:pPr>
    </w:p>
    <w:p>
      <w:pPr>
        <w:jc w:val="both"/>
        <w:ind w:firstLine="656"/>
        <w:spacing w:after="0" w:line="252" w:lineRule="auto"/>
        <w:tabs>
          <w:tab w:leader="none" w:pos="13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 registration statement (File No. 333-283179), including a prospectus, relating to the Securities. Such registration statement, as amended at the time it became effective, including the information, if any, deemed pursuant to Rule 430B or 430C under the Securities Act to be part of the registration statement at the time of its effectiveness (“</w:t>
      </w:r>
      <w:r>
        <w:rPr>
          <w:rFonts w:ascii="Times New Roman" w:cs="Times New Roman" w:eastAsia="Times New Roman" w:hAnsi="Times New Roman"/>
          <w:sz w:val="18"/>
          <w:szCs w:val="18"/>
          <w:b w:val="1"/>
          <w:bCs w:val="1"/>
          <w:color w:val="auto"/>
        </w:rPr>
        <w:t>Rule 430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covering the Securities in the form first used to confirm sales of the Securities (or in the form first made available to the Underwriters by the Company to meet requests of purchasers pursuant to Rule 173 under the Securities Act) is hereinafter referred to as the “Base Prospectus.”, any prospectus filed with the Commission pursuant to Rule 424(a) under the Securities Act, if applicable, the prospectus included in the Registration Statement at the time of its effectiveness that omits Rule 430 Information, and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Base Prospectus, as supplemented by the prospectus supplement in the form first used (or made available upon request of purchasers pursuant to Rule 173 under the Securities Act) in connection with confirmation of sales of the Securities. If the Company has filed an abbreviated registration statement pursuant to Rule 462(b) under the Securities Act (the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“Registration Statement” shall be deemed to include such Rule 462 Registration Statement. Any reference in this underwriting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to the Registration Statement, the Base Prospectus or the Prospectus shall be deemed to refer to and include the documents incorporated by reference therein pursuant to Item 12 of Form S-3 under the Securities Act, as of the effective date of the Registration Statement, the date of the Base Prospectus or the date of the Prospectus, as the case may be, and any reference to “amend”, “amendment” or “supplement” with respect to the Registration Statement, the Base Prospectus or the Prospectus shall be deemed to refer to and include any post-effective amendment to the Registration Statement, that has become or been declared effective, any prospectus supplement relating to the Securities filed with the Commission pursuant to Rule 424(b) under the Securities Act and any documents filed after such date under the Securities Exchange Act of 1934, as amended, and the rules and regulations of the Commission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 Capitalized terms used but not defined herein shall have the meanings given to such terms in the Registration Statement and the Prospectus.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At or prior to the Applicable Time (as defined below), the Company had prepared the following information (collectively with the pricing information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xml:space="preserve">”): the Registration Statement (including the documents incorporated by reference in the Registration Statement) and each “free-writing prospectus” (as defined pursuant to Rule 405 under the Securities Act)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5:30 p.m., New York City time, on May 12, 2025.</w:t>
      </w:r>
    </w:p>
    <w:p>
      <w:pPr>
        <w:spacing w:after="0" w:line="229" w:lineRule="exact"/>
        <w:rPr>
          <w:sz w:val="20"/>
          <w:szCs w:val="20"/>
          <w:color w:val="auto"/>
        </w:rPr>
      </w:pPr>
    </w:p>
    <w:p>
      <w:pPr>
        <w:ind w:left="1340" w:hanging="684"/>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Securities by the Underwriters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13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Underwritten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Shares set forth opposite such Underwriter’s name in Schedule 1 hereto at a purchase price per Share and accompanying Warrant of $0.47, and the purchase price for each Pre-Funded Warrant and accompanying Warrant shall be $0.4606.</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an offering of the Securities as soon after the effectiveness of this Agreement as in the judgment of the Representative is advisable, and initially to offer the Securities on the terms set forth in the Prospectus. The Company acknowledges and agrees that the Underwriters may offer and sell Securities to or through any affiliate of an Underwriter.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ind w:firstLine="656"/>
        <w:spacing w:after="0" w:line="258" w:lineRule="auto"/>
        <w:tabs>
          <w:tab w:leader="none" w:pos="13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 specified by the Company to the Representative in the case of the Underwritten Securities, at the offices of White &amp; Case LLP, 1221 Avenue of the Americas, New York, New York at 9:00 A.M., New York City time, on May 14, 2025, or at such other time or place on the same or such other date, not later than the fifth business day thereafter, as the Representative and the Company may agree upon in writing. The time and date of such payment for the Underwritten Securities is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Payment for the Securities to be purchased on the Closing Date shall be made against delivery to the Representative for the respective accounts of the several Underwriters of the Securities to be purchased on such date with any transfer taxes payable in connection with the sale of such Securities duly paid by the Company. Delivery of the Shares shall be made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delivery of the Pre-Funded Warrants and the Warrants shall be made by physical delivery to be received by the Representative prior to the Closing Date, unless the Representative shall otherwise instruct.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certificates for the Securities, if any, will be made available for inspection and packaging by the Representative at the office of DTC or its designated custodian not later than 1:00 P.M., New York City time, on the business day prior to the Closing Date. The Pre-Funded Warrants shall be delivered to the Representative in definitive form, registered in such names and in such denominations as the Representative shall request in writing not later than the Closing Date. The Pre-Funded Warrants will be made available for inspection by the Representative on the business day prior to the Closing Date.</w:t>
      </w:r>
    </w:p>
    <w:p>
      <w:pPr>
        <w:spacing w:after="0" w:line="183" w:lineRule="exact"/>
        <w:rPr>
          <w:sz w:val="20"/>
          <w:szCs w:val="20"/>
          <w:color w:val="auto"/>
        </w:rPr>
      </w:pPr>
    </w:p>
    <w:p>
      <w:pPr>
        <w:jc w:val="both"/>
        <w:ind w:firstLine="656"/>
        <w:spacing w:after="0" w:line="254" w:lineRule="auto"/>
        <w:tabs>
          <w:tab w:leader="none" w:pos="1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92" w:lineRule="exact"/>
        <w:rPr>
          <w:sz w:val="20"/>
          <w:szCs w:val="20"/>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that:</w:t>
      </w:r>
    </w:p>
    <w:p>
      <w:pPr>
        <w:spacing w:after="0" w:line="223" w:lineRule="exact"/>
        <w:rPr>
          <w:sz w:val="20"/>
          <w:szCs w:val="20"/>
          <w:color w:val="auto"/>
        </w:rPr>
      </w:pPr>
    </w:p>
    <w:p>
      <w:pPr>
        <w:jc w:val="both"/>
        <w:ind w:firstLine="656"/>
        <w:spacing w:after="0" w:line="255" w:lineRule="auto"/>
        <w:tabs>
          <w:tab w:leader="none" w:pos="13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as of the Applicable Time did not, and as of the Closing Date,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656"/>
        <w:spacing w:after="0" w:line="252" w:lineRule="auto"/>
        <w:tabs>
          <w:tab w:leader="none" w:pos="13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Other than the Registration Statement and the Prospectus, the Company (including its agents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other than the Underwriters in their capacity as such) has not prepared, used, authorized, approved or referred to and will not prepare,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 (i) below) an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xml:space="preserve">”)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 Each such Issuer Free Writing Prospectus complied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such Issuer Free Writing Prospectus, did not, and as of the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 expressly for use in such Issuer Free Writing Prospectus, if any, it being understood and agreed that the only such information furnished by any Underwriter consists of the information described as such in Section 7(b) hereof.</w:t>
      </w:r>
    </w:p>
    <w:p>
      <w:pPr>
        <w:spacing w:after="0" w:line="195"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in respect of the Securities has been filed with the Commission;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Registration Statement was declared effective by 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5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Incorporated Documents. </w:t>
      </w:r>
      <w:r>
        <w:rPr>
          <w:rFonts w:ascii="Times New Roman" w:cs="Times New Roman" w:eastAsia="Times New Roman" w:hAnsi="Times New Roman"/>
          <w:sz w:val="18"/>
          <w:szCs w:val="18"/>
          <w:color w:val="auto"/>
        </w:rPr>
        <w:t>The documents incorporated by reference in the Registration Statement, the Prospectus and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jc w:val="both"/>
        <w:ind w:firstLine="656"/>
        <w:spacing w:after="0" w:line="257" w:lineRule="auto"/>
        <w:tabs>
          <w:tab w:leader="none" w:pos="1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(including the related notes thereto) of the Company and its consolidated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of the Company and its consolidated subsidiaries and presents fairly the information shown thereby. No other financial statements or supporting schedules are required to be included in the Registration Statement, the Prospectus or the Pricing Disclosure Package.</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1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or incorporated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Registration Statement, the Pricing Disclosure Package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including a health epidemic or pandemic outbreak of infectious disease,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12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Company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the Pre-Funded Warrants and the Warrants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 Company does not own or control, directly or indirectly, any corporation, association or other entity other than the subsidiaries listed in Exhibit 21 to the Registration Statement.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both"/>
        <w:ind w:firstLine="656"/>
        <w:spacing w:after="0" w:line="253" w:lineRule="auto"/>
        <w:tabs>
          <w:tab w:leader="none" w:pos="12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an authorized capitalization as set forth in the Registration Statement, the Pricing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all the outstanding shares of capital stock of the Company have been duly and validly authorized and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as otherwise described in the Registration Statement, the Pricing Disclosure Package and the Prospectus, and are owned directly or indirectly by the Company, free and clear of any material lien, charge, encumbrance, security interest, restriction on voting or transfer or any other claim of any third party.</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3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With respect to the stock options (the “</w:t>
      </w: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 granted pursuant to the stock-based compensation plans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(the “</w:t>
      </w:r>
      <w:r>
        <w:rPr>
          <w:rFonts w:ascii="Times New Roman" w:cs="Times New Roman" w:eastAsia="Times New Roman" w:hAnsi="Times New Roman"/>
          <w:sz w:val="18"/>
          <w:szCs w:val="18"/>
          <w:b w:val="1"/>
          <w:bCs w:val="1"/>
          <w:color w:val="auto"/>
        </w:rPr>
        <w:t>Company Stock Plans</w:t>
      </w:r>
      <w:r>
        <w:rPr>
          <w:rFonts w:ascii="Times New Roman" w:cs="Times New Roman" w:eastAsia="Times New Roman" w:hAnsi="Times New Roman"/>
          <w:sz w:val="18"/>
          <w:szCs w:val="18"/>
          <w:color w:val="auto"/>
        </w:rPr>
        <w:t>”), (i) each Stock Option intended to qualify as an “incentive stock option” under Section 422 of the Code so qualifies, (ii) each such grant was made in accordance with the terms of the Company Stock Plans, the Exchange Act and all other applicable laws and regulatory rules or requirements, including the rules of The Nasdaq Capital Market (the “</w:t>
      </w:r>
      <w:r>
        <w:rPr>
          <w:rFonts w:ascii="Times New Roman" w:cs="Times New Roman" w:eastAsia="Times New Roman" w:hAnsi="Times New Roman"/>
          <w:sz w:val="18"/>
          <w:szCs w:val="18"/>
          <w:b w:val="1"/>
          <w:bCs w:val="1"/>
          <w:color w:val="auto"/>
        </w:rPr>
        <w:t>Nasdaq Market</w:t>
      </w:r>
      <w:r>
        <w:rPr>
          <w:rFonts w:ascii="Times New Roman" w:cs="Times New Roman" w:eastAsia="Times New Roman" w:hAnsi="Times New Roman"/>
          <w:sz w:val="18"/>
          <w:szCs w:val="18"/>
          <w:color w:val="auto"/>
        </w:rPr>
        <w:t>”) and any other exchange on which Company securities are traded, and (iii) each such grant was properly accounted for in accordance with GAAP in the financial statements (including the related notes) of the Company and disclosed in the Company’s filings with the Commission in accordance with the Exchange Act and all other applicable laws.</w:t>
      </w:r>
    </w:p>
    <w:p>
      <w:pPr>
        <w:spacing w:after="0" w:line="184"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full right, power and authority to execute and deliver this Agreement, the Pre-Funded Warrants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Warrants and to perform its obligations hereunder and thereunder; and all action required to be taken for the due and proper authorization, execution and delivery by it of this Agreement, the Pre-Funded Warrants and the Warrants and the consummation by it of the transactions contemplated hereby has been duly and validly taken.</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both"/>
        <w:ind w:firstLine="656"/>
        <w:spacing w:after="0" w:line="252" w:lineRule="auto"/>
        <w:tabs>
          <w:tab w:leader="none" w:pos="13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Securities. </w:t>
      </w:r>
      <w:r>
        <w:rPr>
          <w:rFonts w:ascii="Times New Roman" w:cs="Times New Roman" w:eastAsia="Times New Roman" w:hAnsi="Times New Roman"/>
          <w:sz w:val="18"/>
          <w:szCs w:val="18"/>
          <w:color w:val="auto"/>
        </w:rPr>
        <w:t>The Shares to be issued and sold by the Company hereunder have been duly authorized and, when issued and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 The Pre-Funded Warrants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have been duly authorized by the Company and, when executed and delivered by the Company in accordance with this Agreement, will constitute valid and legally binding agreements of the Company, enforceable against the Company in accordance with their terms, except as enforceability may be limited by applicable bankruptcy, insolvency or similar laws affecting creditors’ rights generally or by equitable principles relating to enforceability. The Warrants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have been duly authorized by the Company and, when executed and delivered by the Company in accordance with this Agreement, will constitute valid and legally binding agreements of the Company, enforceable against the Company in accordance with their terms, except as enforceability may be limited by applicable bankruptcy, insolvency or similar laws affecting creditors’ rights generally or by equitable principles relating to enforceability. The Pre-Funded Warrant Shares have been duly authorized and reserved for issuance pursuant to the terms of the Pre-Funded Warrants, and when the Pre-Funded Warrant Shares are issued by the Company upon valid exercise of the Pre-Funded Warrants, such Pre-Funded Warrant Shares will be validly issued, fully paid and non-assessable and not subject to any preemptive rights, rights of first refusal or similar rights. The Warrant Shares have been duly authorized and reserved for issuance pursuant to the terms of the Warrants, and when the Warrant Shares are issued by the Company upon valid exercise of the Warrants, such Warrant Shares will be validly issued, fully paid and non-assessable and not subject to any preemptive rights, rights of first refusal or similar rights.</w:t>
      </w:r>
    </w:p>
    <w:p>
      <w:pPr>
        <w:spacing w:after="0" w:line="19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Exchange Listing</w:t>
      </w:r>
      <w:r>
        <w:rPr>
          <w:rFonts w:ascii="Times New Roman" w:cs="Times New Roman" w:eastAsia="Times New Roman" w:hAnsi="Times New Roman"/>
          <w:sz w:val="18"/>
          <w:szCs w:val="18"/>
          <w:color w:val="auto"/>
        </w:rPr>
        <w:t>. The Common Stock is registered pursuant to Section 12(b) of the Exchange Act and are listed on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and the Company has taken no action designed to, or reasonably likely to have the effect of, terminating the registration of the Common Stock under the Exchange Act or delisting the Common Stock from the Nasdaq Market, nor has the Company received any notification that the Commission or the Nasdaq Market is contemplating terminating such registration or listing, except as disclosed in the Registration Statement, the Pricing Disclosure Package and the Prospectus.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5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13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Statements in the Registration Statement</w:t>
      </w:r>
      <w:r>
        <w:rPr>
          <w:rFonts w:ascii="Times New Roman" w:cs="Times New Roman" w:eastAsia="Times New Roman" w:hAnsi="Times New Roman"/>
          <w:sz w:val="18"/>
          <w:szCs w:val="18"/>
          <w:color w:val="auto"/>
        </w:rPr>
        <w:t>. The statements set forth in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under the caption “Description of Capital Stock”, insofar as they purport to constitute a summary of the terms of the Common Stock, under the caption “Description of Securities We Are Offering,” insofar as they purport to constitute a summary of the terms of each of the Securities, under the caption “Material U.S. Federal Income Tax Consequences” and “Underwriting,” insofar as they purport to describe the provisions of the laws and documents referred to therein, are accurate, complete and fair in all material respects. The statements made in or incorporated by reference in the Registration Statement, the Pricing Disclosure Package and the Prospectus under the captions “Business—Therapeutic Product Candidates in Development —Current Partnerships and Collaborations,” “Business—Intellectual Property,” “Business—Government Regulation” and “Risk Factors—Risks Relating to our Intellectual Property,”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both"/>
        <w:ind w:firstLine="656"/>
        <w:spacing w:after="0" w:line="254" w:lineRule="auto"/>
        <w:tabs>
          <w:tab w:leader="none" w:pos="1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the Pre-Funded Warrants, the Warrants,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and sale of the Securities and the consummation of the transactions contemplated by this Agreement, the Pre-Funded Warrants, the Warrants or the Pricing Disclosure Package and the Prospectus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185" w:lineRule="exact"/>
        <w:rPr>
          <w:rFonts w:ascii="Times New Roman" w:cs="Times New Roman" w:eastAsia="Times New Roman" w:hAnsi="Times New Roman"/>
          <w:sz w:val="18"/>
          <w:szCs w:val="18"/>
          <w:color w:val="auto"/>
        </w:rPr>
      </w:pPr>
    </w:p>
    <w:p>
      <w:pPr>
        <w:jc w:val="both"/>
        <w:ind w:firstLine="656"/>
        <w:spacing w:after="0" w:line="257" w:lineRule="auto"/>
        <w:tabs>
          <w:tab w:leader="none" w:pos="12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this Agreement, the Pre-Funded Warrants, the Warrants, the issuance and sale of the Securities and the consummation of the transactions contemplated by this Agreement, the Pre-Funded Warrants and the Warrants, except for the registration of the Securities under the Securities Act and such consents, approvals, authorizations, orders and registrations or qualifications as may be required by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and under applicable state securities laws in connection with the purchase and distribution of the Securities by the Underwriters.</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13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governmental or regulatory investigations, actions, suits or proceedings pending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no such investigations, actions, suits or proceedings are threatened or, to the knowledge of the Company, contemplated by any governmental or regulatory authority or threatened by others;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85" w:lineRule="exact"/>
        <w:rPr>
          <w:rFonts w:ascii="Times New Roman" w:cs="Times New Roman" w:eastAsia="Times New Roman" w:hAnsi="Times New Roman"/>
          <w:sz w:val="18"/>
          <w:szCs w:val="18"/>
          <w:color w:val="auto"/>
        </w:rPr>
      </w:pPr>
    </w:p>
    <w:p>
      <w:pPr>
        <w:ind w:right="180" w:firstLine="656"/>
        <w:spacing w:after="0" w:line="267" w:lineRule="auto"/>
        <w:tabs>
          <w:tab w:leader="none" w:pos="12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Auditors</w:t>
      </w:r>
      <w:r>
        <w:rPr>
          <w:rFonts w:ascii="Times New Roman" w:cs="Times New Roman" w:eastAsia="Times New Roman" w:hAnsi="Times New Roman"/>
          <w:sz w:val="18"/>
          <w:szCs w:val="18"/>
          <w:color w:val="auto"/>
        </w:rPr>
        <w:t>. Ernst &amp; Young LLP, who have audited certain financial statements of the Company and its subsidiaries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both"/>
        <w:ind w:firstLine="656"/>
        <w:spacing w:after="0" w:line="258" w:lineRule="auto"/>
        <w:tabs>
          <w:tab w:leader="none" w:pos="1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The Company and its subsidiaries have good and marketable title in fee simple (in the case of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to, or have valid and marketable rights to lease or otherwise use, all items of real and personal property and assets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1" w:lineRule="auto"/>
        <w:tabs>
          <w:tab w:leader="none" w:pos="12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To the Company’s knowledge with respect to patents, patent applications, trade and service marks, trade and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 registrations, and trade names only, the Company and its subsidiaries own, possess, or license, and otherwise have legally enforceable rights to all patents, patent applications, trade and service marks, trade and service mark registrations, trade names, copyrights, licenses, inventions, trade secrets, technology, and know-how, except with regard to off-the-shelf software provided by third parties, (collectively, the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necessary for the conduct of the Company’s business as now conducted or, to the knowledge of the Company, as proposed in the Pricing Disclosure Package and the Prospectus to be conducted. Except as disclosed in the Pricing Disclosure Package and the Prospectus, (i) to the knowledge of the Company, there are no rights of third parties to any such Intellectual Property Rights that conflict with the Company’s right to own, possess or license, as applicable, such Intellectual Property Rights; (ii) the Company is not aware of any material infringement by third parties of any such Intellectual Property Rights; (iii) there is no pending, or to the knowledge of the Company threatened, action, suit, proceeding or claim by others challenging the Company’s rights in or to own, possess and license such Intellectual Property Rights, and the Company is unaware of any facts which would form a reasonable basis for any such claim; (iv) there is no pending, or to the knowledge of the Company threatened, action, suit, proceeding or claim by others challenging the validity or scope of any such Intellectual Property Rights, and the Company is unaware of any facts which would form a reasonable basis for any such claim, except for any such action, suit, proceeding or claim that would not have a Material Adverse Effect; (v) there is no pending, or to the knowledge of the Company threatened, action, suit, proceeding or claim by others that the Company infringes or otherwise violates any patent, trademark, copyright, trade secret or other proprietary rights of others, and the Company is unaware of any other fact which would form a reasonable basis for any such claim, except for any such action, suit, proceeding or claim that would not have a Material Adverse Effect; (vi) to the knowledge of the Company, there is no U.S. patent or published U.S. patent application (other than U.S. patents or U.S. patent applications of the Company) which contains claims that dominate or may dominate any Intellectual Property Rights described in the Pricing Disclosure Package and the Prospectus as being owned by or licensed to the Company or that interferes with the issued or pending claims of any such Intellectual Property Rights, except for such claims and interferences that would not reasonably be expected, individually or in the aggregate, to have a Material Adverse Effect; (vii) there is no prior art of which the Company is aware that may render any U.S. patent held by the Company invalid or any U.S. patent application held by the Company unpatentable which has not been disclosed to the U.S. Patent and Trademark Office, and (viii) to the knowledge of the Company, all pertinent prior art references known to the Company or its counsel during the prosecution of the patents and patent applications comprising the Intellectual Property Rights were disclosed to the relevant patent authority and, to the knowledge of the Company, neither such counsel nor the Company nor any licensor made any misrepresentation to, or concealed any material fact from, the relevant patent authority during such prosecution and the Company, and to the knowledge of the Company, any licensor, has complied with all applicable duty of candor requirements of the relevant patent authority with respect to such patents and patent applications. To the knowledge of the Company, all licenses to which the Company and its subsidiaries is a party relating to the Intellectual Property Rights are valid, subsisting, enforceable, and in good standing and each of the Company and its subsidiaries has, in all material respects, complied with its respective contractual obligations pursuant to all such licenses relating to the Intellectual Property Rights and has not committed any material breach thereof (declared or undeclared). The Company is not a party to or bound by any options, licenses, or agreements with respect to the intellectual property rights of any other person or entity that are required to be disclosed in Pricing Disclosure Package and the Prospectus and that are not disclosed therein. None of the Intellectual Property Rights used by the Company and its subsidiaries has been obtained by them or is being used by them in violation of any material contractual obligations binding on the Company, its subsidiaries or, to the knowledge of the Company, any of their officers, directors, or employees. Except as required to be set forth in the Pricing Disclosure Package and the Prospectus, (i) the Company and its subsidiaries are not obligated to pay a material royalty, grant a license or provide other consideration to any third party in connection with the Intellectual Property Rights and (ii) no third party, including any academic or governmental organization, possess material rights to the Intellectual Property Rights owned by the Company.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both"/>
        <w:ind w:firstLine="656"/>
        <w:spacing w:after="0" w:line="252" w:lineRule="auto"/>
        <w:tabs>
          <w:tab w:leader="none" w:pos="13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Laws. </w:t>
      </w:r>
      <w:r>
        <w:rPr>
          <w:rFonts w:ascii="Times New Roman" w:cs="Times New Roman" w:eastAsia="Times New Roman" w:hAnsi="Times New Roman"/>
          <w:sz w:val="18"/>
          <w:szCs w:val="18"/>
          <w:color w:val="auto"/>
        </w:rPr>
        <w:t>The Company has not been advised, and has no reason to believe, that it and each of its subsidiaries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conducting business in compliance with all applicable laws, rules and regulations of the jurisdictions in which it is conducting business, except where failure to be so in compliance would not result in a Material Adverse Effect. Except as described in the Pricing Disclosure Package, each of the Company and its subsidiaries: (A) is and at all times has been in material compliance with all statutes, rules or regulations applicable to the ownership, testing, development, manufacture, packaging, processing, use, distribution, marketing, labeling, promotion, sale, offer for sale, storage, import, export or disposal of any product under development, manufactured or distributed by the Company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(B) has not, within the past five years, received any FDA Form 483, notice of adverse finding, warning letter, untitled letter or other correspondence or notice from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(C) possesses all material Authorizations and such Authorizations are valid and in full force and effect and the Company is not in material violation of any term of any such Authorizations; (D) has not received notice of any claim, action, suit, proceeding, hearing, enforcement, investigation, arbitration or other action from the FDA or any other federal, state, local or foreign governmental or regulatory authority or third party alleging that any product operation or activity is in material violation of any Applicable Laws or Authorizations and has no knowledge that the FDA or any other federal, state, local or foreign governmental or regulatory authority or third party is considering any such claim, litigation, arbitration, action, suit, investigation or proceeding; (E) has not received notice that the FDA or any other federal, state, local or foreign governmental or regulatory authority has taken, is taking or intends to take action to limit, suspend, modify or revoke any material Authorizations and has no knowledge that the FDA or any other federal, state, local or foreign governmental or regulatory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materially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“dear doctor”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both"/>
        <w:ind w:firstLine="656"/>
        <w:spacing w:after="0" w:line="253" w:lineRule="auto"/>
        <w:tabs>
          <w:tab w:leader="none" w:pos="12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Studies</w:t>
      </w:r>
      <w:r>
        <w:rPr>
          <w:rFonts w:ascii="Times New Roman" w:cs="Times New Roman" w:eastAsia="Times New Roman" w:hAnsi="Times New Roman"/>
          <w:sz w:val="18"/>
          <w:szCs w:val="18"/>
          <w:color w:val="auto"/>
        </w:rPr>
        <w:t>. The studies, tests and preclinical and clinical trials conducted by or on behalf of the Company or any of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and, if still pending, are being conducted in all material respects in accordance with experimental protocols, procedures and controls pursuant to accepted professional scientific standards and all Applicable Laws and Authorizations, including, without limitation, the Federal Food, Drug and Cosmetic Act and the rules and regulations promulgated thereunder (collectively,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the descriptions of the results of such studies, tests and trials contained in the Registration Statement and the Pricing Disclosure Package are accurate and complete in all material respects and fairly present the data derived from such studies, tests and trials; except as disclosed in the Pricing Disclosure Package, the Company is not aware of any studies, tests or trials, the results of which the Company believes reasonably call into question the study results, test results, or trial results described or referred to in the Registration Statement and the Pricing Disclosure Package when viewed in the context in which such results are described and the clinical state of development; and, except as otherwise disclosed in the Registration Statement, the Pricing Disclosure Package and the Prospectus, since December 31, 2018, the Company has not received any notices or correspondence from the FDA or any other federal, state, local or foreign governmental or regulatory authority requiring the termination, suspension or material modification of any studies, tests or preclinical or clinical trials conducted by or on behalf of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Securities and the application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all material federal, state, local and foreign taxes and filed all tax returns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or filed through the date hereof; and except as otherwise disclosed in the Registration Statement, the Pricing Disclosure Package and the Prospectus, there is no material tax deficiency that has been, or could reasonably be expected to be, asserted against the Company or any of its subsidiaries or any of their respective properties or assets.</w:t>
      </w:r>
    </w:p>
    <w:p>
      <w:pPr>
        <w:spacing w:after="0" w:line="180" w:lineRule="exact"/>
        <w:rPr>
          <w:sz w:val="20"/>
          <w:szCs w:val="20"/>
          <w:color w:val="auto"/>
        </w:rPr>
      </w:pPr>
    </w:p>
    <w:p>
      <w:pPr>
        <w:jc w:val="both"/>
        <w:ind w:firstLine="656"/>
        <w:spacing w:after="0" w:line="255" w:lineRule="auto"/>
        <w:tabs>
          <w:tab w:leader="none" w:pos="13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or Permits. </w:t>
      </w:r>
      <w:r>
        <w:rPr>
          <w:rFonts w:ascii="Times New Roman" w:cs="Times New Roman" w:eastAsia="Times New Roman" w:hAnsi="Times New Roman"/>
          <w:sz w:val="18"/>
          <w:szCs w:val="18"/>
          <w:color w:val="auto"/>
        </w:rPr>
        <w:t>Except as otherwise described in each of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the Company and its subsidiaries possess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except where the failure to possess or make the same would not, individually or in the aggregate, have a Material Adverse Effect; and except as described in each of the Registration Statement, the Pricing Disclosure Package and the Prospectus, neither the Company nor any of its subsidiaries has received notice of any revocation or modification of any such license, certificate, permit or authorization or has any reason to believe that any such license, certificate, permit or authorization will not be renewed in the ordinary course that, individually or in the aggregate, if revoked, modified or failed to renew, could result in a Material Adverse Effect.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both"/>
        <w:ind w:firstLine="656"/>
        <w:spacing w:after="0" w:line="267" w:lineRule="auto"/>
        <w:tabs>
          <w:tab w:leader="none" w:pos="1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Company or any of its subsidiaries exists 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w:t>
      </w:r>
    </w:p>
    <w:p>
      <w:pPr>
        <w:spacing w:after="0" w:line="173" w:lineRule="exact"/>
        <w:rPr>
          <w:rFonts w:ascii="Times New Roman" w:cs="Times New Roman" w:eastAsia="Times New Roman" w:hAnsi="Times New Roman"/>
          <w:sz w:val="18"/>
          <w:szCs w:val="18"/>
          <w:color w:val="auto"/>
        </w:rPr>
      </w:pPr>
    </w:p>
    <w:p>
      <w:pPr>
        <w:jc w:val="both"/>
        <w:ind w:firstLine="656"/>
        <w:spacing w:after="0" w:line="252" w:lineRule="auto"/>
        <w:tabs>
          <w:tab w:leader="none" w:pos="12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Environmental Laws and Hazardous Materials. </w:t>
      </w:r>
      <w:r>
        <w:rPr>
          <w:rFonts w:ascii="Times New Roman" w:cs="Times New Roman" w:eastAsia="Times New Roman" w:hAnsi="Times New Roman"/>
          <w:sz w:val="18"/>
          <w:szCs w:val="18"/>
          <w:color w:val="auto"/>
        </w:rPr>
        <w:t>Except as described in the Pricing Disclosure Package and the Prospectus or except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not, singly or in the aggregate, result in a Material Adverse Effect, (i) the Company has not been advised, and has no reason to believe, that either the Company or any of its subsidiaries is in violation of any applicable federal, state, local or foreign statute, law, rule, regulation, ordinance, code or rule of common law or any binding and enforceable judicial or administrative interpretation thereof, including any binding and enforceable judicial or administrative order, consent, decree or judgment, relating to pollution or protection of human health or the environment (including, without limitation, ambient air, surface water, groundwater, land surface or subsurface strata),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Company has not been advised, and has no reason to believe, that the Company and its subsidiaries do not have all permits, authorizations and approvals required under any applicable Environmental Laws to operate the business of the Company as currently conducted or are not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the Company has not been advised, and has no reason to believe, that there are any events or circumstances that might reasonably be expected to form the basis of an order for clean-up or remediation, or an action, suit or proceeding by any private party or governmental body or agency, against the Company or any of its subsidiaries relating to Hazardous Materials pursuant to any applicable Environmental Laws.</w:t>
      </w:r>
    </w:p>
    <w:p>
      <w:pPr>
        <w:spacing w:after="0" w:line="192" w:lineRule="exact"/>
        <w:rPr>
          <w:rFonts w:ascii="Times New Roman" w:cs="Times New Roman" w:eastAsia="Times New Roman" w:hAnsi="Times New Roman"/>
          <w:sz w:val="18"/>
          <w:szCs w:val="18"/>
          <w:color w:val="auto"/>
        </w:rPr>
      </w:pPr>
    </w:p>
    <w:p>
      <w:pPr>
        <w:jc w:val="both"/>
        <w:ind w:firstLine="656"/>
        <w:spacing w:after="0" w:line="253" w:lineRule="auto"/>
        <w:tabs>
          <w:tab w:leader="none" w:pos="1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ERISA. </w:t>
      </w:r>
      <w:r>
        <w:rPr>
          <w:rFonts w:ascii="Times New Roman" w:cs="Times New Roman" w:eastAsia="Times New Roman" w:hAnsi="Times New Roman"/>
          <w:sz w:val="18"/>
          <w:szCs w:val="18"/>
          <w:color w:val="auto"/>
        </w:rPr>
        <w:t>The Company and its subsidiaries and any “</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(as defined in Section 3(3) of the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Income Security Act of 1974, as amended (collectively with the regulations and published interpretations thereunder,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their “</w:t>
      </w:r>
      <w:r>
        <w:rPr>
          <w:rFonts w:ascii="Times New Roman" w:cs="Times New Roman" w:eastAsia="Times New Roman" w:hAnsi="Times New Roman"/>
          <w:sz w:val="18"/>
          <w:szCs w:val="18"/>
          <w:b w:val="1"/>
          <w:bCs w:val="1"/>
          <w:color w:val="auto"/>
        </w:rPr>
        <w:t>ERISA Affiliates</w:t>
      </w:r>
      <w:r>
        <w:rPr>
          <w:rFonts w:ascii="Times New Roman" w:cs="Times New Roman" w:eastAsia="Times New Roman" w:hAnsi="Times New Roman"/>
          <w:sz w:val="18"/>
          <w:szCs w:val="18"/>
          <w:color w:val="auto"/>
        </w:rPr>
        <w:t>” (as defined below) (“</w:t>
      </w:r>
      <w:r>
        <w:rPr>
          <w:rFonts w:ascii="Times New Roman" w:cs="Times New Roman" w:eastAsia="Times New Roman" w:hAnsi="Times New Roman"/>
          <w:sz w:val="18"/>
          <w:szCs w:val="18"/>
          <w:b w:val="1"/>
          <w:bCs w:val="1"/>
          <w:color w:val="auto"/>
        </w:rPr>
        <w:t>Company Benefit Plans</w:t>
      </w:r>
      <w:r>
        <w:rPr>
          <w:rFonts w:ascii="Times New Roman" w:cs="Times New Roman" w:eastAsia="Times New Roman" w:hAnsi="Times New Roman"/>
          <w:sz w:val="18"/>
          <w:szCs w:val="18"/>
          <w:color w:val="auto"/>
        </w:rPr>
        <w:t>”) are in compliance in all material respects with 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 subsidiary,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No Company Benefit Plan is a multiemployer plan (as defined in Section 4001(a)(3) and Section 3(37) of ERISA) or a “multiple employer plan” (as defined in Section 4063 or 4064 of ERISA). Furthermore, no Company Benefit Plan is a “defined benefit plan” as defined in Section 3(35) of ERISA or plan subject to Part 3, Subtitle B of Title I of ERISA, Section 412 of the Code or Title IV of ERISA. None of the Company, its subsidiaries or any of their ERISA Affiliates has incurred or reasonably expects to incur any material liability under Sections 4975 or 4980B of the Code. Each Company Benefit Plan that is intended to be qualified under Section 401(a) of the Code is so qualified and nothing has occurred, whether by action or failure to act, which would cause the loss of such qualification, except where such act or failure to act would not, individually or in the aggregate, result in a Material Adverse Effect.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both"/>
        <w:ind w:firstLine="656"/>
        <w:spacing w:after="0" w:line="257" w:lineRule="auto"/>
        <w:tabs>
          <w:tab w:leader="none" w:pos="11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jc w:val="both"/>
        <w:ind w:firstLine="656"/>
        <w:spacing w:after="0" w:line="252" w:lineRule="auto"/>
        <w:tabs>
          <w:tab w:leader="none" w:pos="12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and its subsidiaries maintain systems of “internal control over financial reporting”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Except as disclosed in the Registration Statement, the Pricing Disclosure Package and the Prospectus, there are no material weaknesses in the Company’s internal controls. Based on the most recent evaluation of its disclosure controls and procedures, the Company is not aware of: (i) any significant deficiencies and material weaknesses in the design or operation of internal controls over financial reporting which have materially adversely affected or are reasonably likely to materially adversely affect the Company’s ability to record, process, summarize and report financial information; and (ii) any fraud, whether or not material, that involves management or other employees who have a significant role in the Company’s internal controls over financial reporting. Since the date of the last audited financial statements included or incorporated by reference in the Registration Statement, the Pricing Disclosure Package and the Prospectus, there has been no change in the Company’s internal control over financial reporting that has materially affected, or is reasonably likely to materially affect, the Company’s internal control over financial reporting.</w:t>
      </w:r>
    </w:p>
    <w:p>
      <w:pPr>
        <w:spacing w:after="0" w:line="191" w:lineRule="exact"/>
        <w:rPr>
          <w:rFonts w:ascii="Times New Roman" w:cs="Times New Roman" w:eastAsia="Times New Roman" w:hAnsi="Times New Roman"/>
          <w:sz w:val="18"/>
          <w:szCs w:val="18"/>
          <w:color w:val="auto"/>
        </w:rPr>
      </w:pPr>
    </w:p>
    <w:p>
      <w:pPr>
        <w:jc w:val="both"/>
        <w:ind w:firstLine="656"/>
        <w:spacing w:after="0" w:line="267" w:lineRule="auto"/>
        <w:tabs>
          <w:tab w:leader="none" w:pos="12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eXtensible Business Reporting Language. </w:t>
      </w:r>
      <w:r>
        <w:rPr>
          <w:rFonts w:ascii="Times New Roman" w:cs="Times New Roman" w:eastAsia="Times New Roman" w:hAnsi="Times New Roman"/>
          <w:sz w:val="18"/>
          <w:szCs w:val="18"/>
          <w:color w:val="auto"/>
        </w:rPr>
        <w:t>The interactive data in eXtensible Business Reporting Language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fairly presents the information called for in all material respects and has been prepared in accordance with the Commission’s rules and guidelines applicable thereto.</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both"/>
        <w:ind w:firstLine="656"/>
        <w:spacing w:after="0" w:line="257" w:lineRule="auto"/>
        <w:tabs>
          <w:tab w:leader="none" w:pos="13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 Accounting Policies</w:t>
      </w:r>
      <w:r>
        <w:rPr>
          <w:rFonts w:ascii="Times New Roman" w:cs="Times New Roman" w:eastAsia="Times New Roman" w:hAnsi="Times New Roman"/>
          <w:sz w:val="18"/>
          <w:szCs w:val="18"/>
          <w:color w:val="auto"/>
        </w:rPr>
        <w:t>. The section entitled “Management’s Discussion and Analysis of Financial Condition and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set forth or incorporated by reference in the Registration Statement, the Pricing Disclosure Package and the Prospectus accurately and fully describes (i) the accounting policies that the Company believes are the most important in the portrayal of the Company’s financial condition and results of operations and that require management’s most difficult, subject or complex judgments (“</w:t>
      </w:r>
      <w:r>
        <w:rPr>
          <w:rFonts w:ascii="Times New Roman" w:cs="Times New Roman" w:eastAsia="Times New Roman" w:hAnsi="Times New Roman"/>
          <w:sz w:val="18"/>
          <w:szCs w:val="18"/>
          <w:b w:val="1"/>
          <w:bCs w:val="1"/>
          <w:color w:val="auto"/>
        </w:rPr>
        <w:t>Critical Accounting Policies</w:t>
      </w:r>
      <w:r>
        <w:rPr>
          <w:rFonts w:ascii="Times New Roman" w:cs="Times New Roman" w:eastAsia="Times New Roman" w:hAnsi="Times New Roman"/>
          <w:sz w:val="18"/>
          <w:szCs w:val="18"/>
          <w:color w:val="auto"/>
        </w:rPr>
        <w:t>”); (ii) the judgments and uncertainties affecting the application of Critical Accounting Policies; and (iii) the likelihood that materially different amounts would be reported under different conditions or using different assumptions and an explanation thereof.</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13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have insurance covering their respective properties, operations, personnel and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business interruption insurance, which insurance is in amounts and insures against such losses and risks as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for such notices or non-renewal that would not result in a Material Adverse Effect.</w:t>
      </w:r>
    </w:p>
    <w:p>
      <w:pPr>
        <w:spacing w:after="0" w:line="182" w:lineRule="exact"/>
        <w:rPr>
          <w:rFonts w:ascii="Times New Roman" w:cs="Times New Roman" w:eastAsia="Times New Roman" w:hAnsi="Times New Roman"/>
          <w:sz w:val="18"/>
          <w:szCs w:val="18"/>
          <w:color w:val="auto"/>
        </w:rPr>
      </w:pPr>
    </w:p>
    <w:p>
      <w:pPr>
        <w:jc w:val="both"/>
        <w:ind w:firstLine="656"/>
        <w:spacing w:after="0" w:line="252" w:lineRule="auto"/>
        <w:tabs>
          <w:tab w:leader="none" w:pos="12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nor, to the knowledge of the Company, any agent, affiliate or other person associated with or acting on behalf of the Company or any of its subsidiaries has (i) made, offered, promised or authorized any unlawful contribution, gift, entertainment or other unlawful expense (or taken any act in furtherance thereof)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(collectively,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or (iv) made, offered, agreed, requested or taken an act in furtherance of any unlawful bribe or other unlawful benefit,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any rebate, payoff, influence payment, kickback or other unlawful or improper payment or benefit. The Company and its subsidiaries have conducted their businesses in compliance with Anti-Corruption Laws and have instituted, maintain and enforce, and will continue to maintain and enforce policies and procedures designed to promote and ensure compliance with all applicable anti-bribery and Anti-Corruption Laws. Neither the Company nor any of its subsidiaries will use, directly or indirectly, the proceeds of the offering in furtherance of an offer, payment, promise to pay, or authorization of the payment or giving of money, or anything else of value, to any person in violation of Anti-Corruption Laws.</w:t>
      </w:r>
    </w:p>
    <w:p>
      <w:pPr>
        <w:spacing w:after="0" w:line="19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both"/>
        <w:ind w:firstLine="656"/>
        <w:spacing w:after="0" w:line="252" w:lineRule="auto"/>
        <w:tabs>
          <w:tab w:leader="none" w:pos="12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nor any director, officer or employee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of its subsidiaries nor, to the knowledge of the Company, any agent,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and including, without limitation, the designation as a “specially designated national” or “blocked person,” the European Union, His Majesty’s Treasury, the United Nations Security Council,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(ii) located, organized, or resident in a country or territory that is the subject or target of Sanctions (a “</w:t>
      </w:r>
      <w:r>
        <w:rPr>
          <w:rFonts w:ascii="Times New Roman" w:cs="Times New Roman" w:eastAsia="Times New Roman" w:hAnsi="Times New Roman"/>
          <w:sz w:val="18"/>
          <w:szCs w:val="18"/>
          <w:b w:val="1"/>
          <w:bCs w:val="1"/>
          <w:color w:val="auto"/>
        </w:rPr>
        <w:t>Sanctioned Jurisdiction</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or facilitation, is the subject or the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 neither the Company nor any of its subsidiaries is engaged in, or has, at any time in the past five years,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designed to promote and achieve continued compliance with Sanctions.</w:t>
      </w:r>
    </w:p>
    <w:p>
      <w:pPr>
        <w:spacing w:after="0" w:line="19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7" w:lineRule="auto"/>
        <w:tabs>
          <w:tab w:leader="none" w:pos="12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Except as disclosed in the Pricing Disclosure Package, no person has the right to require the Company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to register any securities for sale under the Securities Act by reason of the filing of the Registration Statement with the Commission or the issuance and sale of the Securities.</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1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Company nor any of its affiliates has taken, directly or indirectly, any action designed to or that could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expected to cause or result in any stabilization or manipulation of the price of the Securities.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both"/>
        <w:ind w:firstLine="656"/>
        <w:spacing w:after="0" w:line="267" w:lineRule="auto"/>
        <w:tabs>
          <w:tab w:leader="none" w:pos="1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2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market-related data included or incorporated by reference in the Registration Statement, the Pricing Disclosure Package and the Prospectus is not based on or derived from sources that are reliable and accurate in all material respects.</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 Compliance</w:t>
      </w:r>
      <w:r>
        <w:rPr>
          <w:rFonts w:ascii="Times New Roman" w:cs="Times New Roman" w:eastAsia="Times New Roman" w:hAnsi="Times New Roman"/>
          <w:sz w:val="18"/>
          <w:szCs w:val="18"/>
          <w:color w:val="auto"/>
        </w:rPr>
        <w:t>. There is and has been no failure on the part of the Company or, to the knowledge of the Company,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directors or officers, in their capacities as such, to comply with any provision of the Sarbanes-Oxley Act of 2002, as amended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Outstanding Loans or Other Extensions of Credit</w:t>
      </w:r>
      <w:r>
        <w:rPr>
          <w:rFonts w:ascii="Times New Roman" w:cs="Times New Roman" w:eastAsia="Times New Roman" w:hAnsi="Times New Roman"/>
          <w:sz w:val="18"/>
          <w:szCs w:val="18"/>
          <w:color w:val="auto"/>
        </w:rPr>
        <w:t>. Since the adoption of Section 13(k) of the Exchange Act, neither the Company nor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its subsidiaries has extended or maintained credit, arranged for the extension of credit, or renewed any extension of credit, in the form of a personal loan, to or for any director or executive officer (or equivalent thereof) of the Company and/or such subsidiary except for such extensions of credit as are expressly permitted by Section 13(k) of the Exchange Act.</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12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 earliest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thereafter that the Company or any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Securities and at the date hereof, the Company was not and is not an “ineligible issuer,” as such term is defined in Rule 405 under the Securities Act.</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2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Ratings</w:t>
      </w:r>
      <w:r>
        <w:rPr>
          <w:rFonts w:ascii="Times New Roman" w:cs="Times New Roman" w:eastAsia="Times New Roman" w:hAnsi="Times New Roman"/>
          <w:sz w:val="18"/>
          <w:szCs w:val="18"/>
          <w:color w:val="auto"/>
        </w:rPr>
        <w:t>. There are (and prior to the Closing Date, will be) no debt securities or preferred stock issued or guaranteed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of its subsidiaries that are rated by a “nationally recognized statistical rating organization”, as such term is defined in Section 3(a)(62) of the Exchange Act.</w:t>
      </w:r>
    </w:p>
    <w:p>
      <w:pPr>
        <w:spacing w:after="0" w:line="173" w:lineRule="exact"/>
        <w:rPr>
          <w:rFonts w:ascii="Times New Roman" w:cs="Times New Roman" w:eastAsia="Times New Roman" w:hAnsi="Times New Roman"/>
          <w:sz w:val="18"/>
          <w:szCs w:val="18"/>
          <w:color w:val="auto"/>
        </w:rPr>
      </w:pPr>
    </w:p>
    <w:p>
      <w:pPr>
        <w:jc w:val="both"/>
        <w:ind w:firstLine="656"/>
        <w:spacing w:after="0" w:line="252" w:lineRule="auto"/>
        <w:tabs>
          <w:tab w:leader="none" w:pos="12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 Security; Data Protection</w:t>
      </w:r>
      <w:r>
        <w:rPr>
          <w:rFonts w:ascii="Times New Roman" w:cs="Times New Roman" w:eastAsia="Times New Roman" w:hAnsi="Times New Roman"/>
          <w:sz w:val="18"/>
          <w:szCs w:val="18"/>
          <w:color w:val="auto"/>
        </w:rPr>
        <w:t>. The Company and its subsidiaries’ information technology assets and equipment, computers,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networks, hardware, software, websites, applications, data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as required in connection with the operation of the business of the Company and the subsidiaries as currently conducted, free and clear of all material bugs, errors, defects, Trojan horses, time bombs, malware and other corruptants, except where such inadequacy in, or failure to operate or perform, would not, individually or in the aggregate, have a Material Adverse Effect.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used in connection with their businesses, and, except as disclosed in the Pricing Disclosure Package, there have been no breaches, violations, outages or unauthorized uses of or accesses to same, except for those that have been remedied without material cost or liability or the duty to notify any other person or as would not, individually or in the aggregate, have a Material Adverse Effect, nor any incidents under internal review or investigations relating to the same. The Company and its subsidiaries are presently in compliance with all applicable laws or statutes and all judgments, orders, rules and regulations of any court or arbitrator or governmental or regulatory authority having jurisdiction over the Company and its subsidiaries or any of their properties or assets, internal policies and contractual obligations relating to the privacy and security of IT Systems and Personal Data and to the protection of such IT Systems and Personal Data from unauthorized use, access, misappropriation or modification, except where such non-compliance or failure to protect would not, individually or in the aggregate, result in a Material Adverse Effect.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ind w:left="1280" w:hanging="624"/>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223" w:lineRule="exact"/>
        <w:rPr>
          <w:sz w:val="20"/>
          <w:szCs w:val="20"/>
          <w:color w:val="auto"/>
        </w:rPr>
      </w:pPr>
    </w:p>
    <w:p>
      <w:pPr>
        <w:jc w:val="both"/>
        <w:ind w:firstLine="656"/>
        <w:spacing w:after="0" w:line="256" w:lineRule="auto"/>
        <w:tabs>
          <w:tab w:leader="none" w:pos="12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430B or 430C under the Securities Act, will file any Issuer Free Writing Prospectus to the extent required by Rule 433 under the Securities Act;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 may reasonably request.</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14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Upon request, the Company will deliver, without charge, (i) to the Representative, two signed copies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 may reasonably request. As used herein, the term “</w:t>
      </w:r>
      <w:r>
        <w:rPr>
          <w:rFonts w:ascii="Times New Roman" w:cs="Times New Roman" w:eastAsia="Times New Roman" w:hAnsi="Times New Roman"/>
          <w:sz w:val="18"/>
          <w:szCs w:val="18"/>
          <w:b w:val="1"/>
          <w:bCs w:val="1"/>
          <w:color w:val="auto"/>
        </w:rPr>
        <w:t>Prospectus Delivery Period</w:t>
      </w:r>
      <w:r>
        <w:rPr>
          <w:rFonts w:ascii="Times New Roman" w:cs="Times New Roman" w:eastAsia="Times New Roman" w:hAnsi="Times New Roman"/>
          <w:sz w:val="18"/>
          <w:szCs w:val="18"/>
          <w:color w:val="auto"/>
        </w:rPr>
        <w:t>” means such period of time after the first date of the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84" w:lineRule="exact"/>
        <w:rPr>
          <w:rFonts w:ascii="Times New Roman" w:cs="Times New Roman" w:eastAsia="Times New Roman" w:hAnsi="Times New Roman"/>
          <w:sz w:val="18"/>
          <w:szCs w:val="18"/>
          <w:color w:val="auto"/>
        </w:rPr>
      </w:pPr>
    </w:p>
    <w:p>
      <w:pPr>
        <w:jc w:val="both"/>
        <w:ind w:firstLine="656"/>
        <w:spacing w:after="0" w:line="258" w:lineRule="auto"/>
        <w:tabs>
          <w:tab w:leader="none" w:pos="12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preparing, using, authorizing, approving, referring to or filing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Free Writing Prospectus, and before filing any amendment or supplement to the Registration Statement or the Prospectus, whether before or after the time that the Registration Statement becomes effective, the Company will furnish to the Representative and counsel for the Underwriters a copy of the proposed Issuer Free Writing Prospectus, amendment or supplement for review and will not prepare, use, authorize, approve, refer to or file any such Issuer Free Writing Prospectus or file any such proposed amendment or supplement to which the Representative reasonably objects.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656"/>
        <w:spacing w:after="0" w:line="255" w:lineRule="auto"/>
        <w:tabs>
          <w:tab w:leader="none" w:pos="13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Renewal of Registration</w:t>
      </w:r>
      <w:r>
        <w:rPr>
          <w:rFonts w:ascii="Times New Roman" w:cs="Times New Roman" w:eastAsia="Times New Roman" w:hAnsi="Times New Roman"/>
          <w:sz w:val="18"/>
          <w:szCs w:val="18"/>
          <w:color w:val="auto"/>
        </w:rPr>
        <w:t>. If by the third anniversary (the “</w:t>
      </w:r>
      <w:r>
        <w:rPr>
          <w:rFonts w:ascii="Times New Roman" w:cs="Times New Roman" w:eastAsia="Times New Roman" w:hAnsi="Times New Roman"/>
          <w:sz w:val="18"/>
          <w:szCs w:val="18"/>
          <w:b w:val="1"/>
          <w:bCs w:val="1"/>
          <w:color w:val="auto"/>
        </w:rPr>
        <w:t>Renewal Deadline</w:t>
      </w:r>
      <w:r>
        <w:rPr>
          <w:rFonts w:ascii="Times New Roman" w:cs="Times New Roman" w:eastAsia="Times New Roman" w:hAnsi="Times New Roman"/>
          <w:sz w:val="18"/>
          <w:szCs w:val="18"/>
          <w:color w:val="auto"/>
        </w:rPr>
        <w:t>”) of the initial effective date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the Securities remain unsold by the Underwriters, the Company will file, if it has not already done so and is eligible to do so, a new automatic shelf registration statement relating to the Securities, in a form satisfactory to you. If at the Renewal Deadline the Company is no longer eligible to file an automatic shelf registration statement, the Company will, if it has not already done so, file a new shelf registration statement relating to the Securities, in a form satisfactory to you and will use its best efforts to cause such registration statement to be declared effective within 180 days after the Renewal Deadline. The Company will take all other action necessary or appropriate to permit the offering and sale of the Securities to continue as contemplated in the expired registration statement relating to the Securities. References herein to the Registration Statement shall include such new automatic shelf registration statement or such new shelf registration statement, as the case may be.</w:t>
      </w:r>
    </w:p>
    <w:p>
      <w:pPr>
        <w:spacing w:after="0" w:line="186" w:lineRule="exact"/>
        <w:rPr>
          <w:rFonts w:ascii="Times New Roman" w:cs="Times New Roman" w:eastAsia="Times New Roman" w:hAnsi="Times New Roman"/>
          <w:sz w:val="18"/>
          <w:szCs w:val="18"/>
          <w:color w:val="auto"/>
        </w:rPr>
      </w:pPr>
    </w:p>
    <w:p>
      <w:pPr>
        <w:jc w:val="both"/>
        <w:ind w:firstLine="656"/>
        <w:spacing w:after="0" w:line="252" w:lineRule="auto"/>
        <w:tabs>
          <w:tab w:leader="none" w:pos="128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 </w:t>
      </w:r>
      <w:r>
        <w:rPr>
          <w:rFonts w:ascii="Times New Roman" w:cs="Times New Roman" w:eastAsia="Times New Roman" w:hAnsi="Times New Roman"/>
          <w:sz w:val="18"/>
          <w:szCs w:val="18"/>
          <w:color w:val="auto"/>
        </w:rPr>
        <w:t>The Company will advise the Representative promptly, and confirm such advice in writing, (i)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has become effective; (ii) when any amendment to the Registration Statement has been filed or becomes effective; (iii) when any supplement to the Prospectus or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of the Pricing Disclosure Package or the Prospectus or the initiation or threatening of any proceeding for that purpose or pursuant to Section 8A of the Securities Act; (vi) of the occurrence of any event or development within the Prospectus Delivery Period as a result of which the Prospectus,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is delivered to a purchaser, not misleading; (vii) of the receipt by the Company of any notice of objection of the Commission to the use of the Registration Statement or any post-effective amendment thereto pursuant to Rule 401(g)(2) under the Securities Act; and</w:t>
      </w:r>
    </w:p>
    <w:p>
      <w:pPr>
        <w:spacing w:after="0" w:line="4" w:lineRule="exact"/>
        <w:rPr>
          <w:rFonts w:ascii="Times New Roman" w:cs="Times New Roman" w:eastAsia="Times New Roman" w:hAnsi="Times New Roman"/>
          <w:sz w:val="18"/>
          <w:szCs w:val="18"/>
          <w:color w:val="auto"/>
        </w:rPr>
      </w:pPr>
    </w:p>
    <w:p>
      <w:pPr>
        <w:jc w:val="both"/>
        <w:ind w:firstLine="8"/>
        <w:spacing w:after="0" w:line="253" w:lineRule="auto"/>
        <w:tabs>
          <w:tab w:leader="none" w:pos="4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notice with respect to any suspension of the qualification of the Securities for offer and sale in any jurisdiction or the initiation or threatening of any proceeding for such purpose; and the Company will use its best efforts to prevent the issuance of any such order suspending the effectiveness of the Registration Statement, preventing or suspending the use of any of the Pricing Disclosure Package or the Prospectus or suspending any such qualification of the Securities and, if any such order is issued, will obtain as soon as possible the withdrawal thereof.</w:t>
      </w:r>
    </w:p>
    <w:p>
      <w:pPr>
        <w:spacing w:after="0" w:line="186" w:lineRule="exact"/>
        <w:rPr>
          <w:rFonts w:ascii="Times New Roman" w:cs="Times New Roman" w:eastAsia="Times New Roman" w:hAnsi="Times New Roman"/>
          <w:sz w:val="18"/>
          <w:szCs w:val="18"/>
          <w:color w:val="auto"/>
        </w:rPr>
      </w:pPr>
    </w:p>
    <w:p>
      <w:pPr>
        <w:jc w:val="both"/>
        <w:ind w:firstLine="656"/>
        <w:spacing w:after="0" w:line="252" w:lineRule="auto"/>
        <w:tabs>
          <w:tab w:leader="none" w:pos="13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both"/>
        <w:ind w:firstLine="656"/>
        <w:spacing w:after="0" w:line="258" w:lineRule="auto"/>
        <w:tabs>
          <w:tab w:leader="none" w:pos="11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qualify, if required, the Securities for offer and sale under the securities or Blue Sky laws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jurisdictions as the Representative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 as soon as practicable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77" w:lineRule="exact"/>
        <w:rPr>
          <w:rFonts w:ascii="Times New Roman" w:cs="Times New Roman" w:eastAsia="Times New Roman" w:hAnsi="Times New Roman"/>
          <w:sz w:val="18"/>
          <w:szCs w:val="18"/>
          <w:color w:val="auto"/>
        </w:rPr>
      </w:pPr>
    </w:p>
    <w:p>
      <w:pPr>
        <w:jc w:val="both"/>
        <w:ind w:firstLine="656"/>
        <w:spacing w:after="0" w:line="254" w:lineRule="auto"/>
        <w:tabs>
          <w:tab w:leader="none" w:pos="13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30 days after the date of the Prospectus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Company will not (i) offer, pledge,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contract to sell, sell any option or contract to purchase, purchase any option or contract to sell, grant any option, right or warrant to purchase, make any short sale or otherwise transfer or dispose of, directly or indirectly, or file with the Commission a registration statement under the Securities Act relating to, any shares of the Company that are substantially similar to the Securities, including but not limited to any options or warrants to purchase shares of Stock or any securities convertible into or exercisable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w:t>
      </w:r>
    </w:p>
    <w:p>
      <w:pPr>
        <w:jc w:val="both"/>
        <w:ind w:firstLine="8"/>
        <w:spacing w:after="0" w:line="251" w:lineRule="auto"/>
        <w:tabs>
          <w:tab w:leader="none" w:pos="2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is to be settled by delivery of Stock or such other securities, in cash or otherwise, without the prior written consent of the Representative, other than (A) the Company’s sale of the Securities hereunder, (B) the issuance of securities issued on a pro rata basis to all holders of a class of outstanding equity securities of the Company, (C) the issuance of restricted Common Stock, restricted stock units or options to acquire Common Stock pursuant to the Company’s employee benefit plans, qualified stock option plans or other employee compensation plans as such plans are in existence on the date hereof and described in the Registration Statement and the Prospectus, (D) issuances of Common Stock upon the exercise or settlement of options, warrants or restricted stock units disclosed as outstanding in Registration Statement and the Prospectus; (E) the purchase or sale of the Company’s securities pursuant to a plan, contract or instruction, if any, that satisfies all of the requirements of Rule 10b5-1(c)(1)(i)(B) that was in effect prior to the date hereof; or (F) the issuance of securities representing in the aggregate no more than 10% of the Company’s issued and outstanding shares of Common Stock as of the date of this Agreement, which may be sold, on an arm’s-length basis, only to unaffiliated service providers, vendors, customers, strategic partners and collaborators pursuant to a collaboration, licensing agreement, strategic alliance, lease, manufacturing or distribution agreement or similar transaction in connection with the acquisition of assets, technologies or other entities, so long as recipients of such securities agree to be bound by a “lock-up” agreements,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Company also agrees that during such period, the Company will not file any registration statement, preliminary prospectus or prospectus, or any amendment or supplement thereto, under the Securities Act for any such transaction or which registers, or offers for sale, Common Stock or any securities convertible into or exercisable or exchangeable for Common Stock, except for a registration statement on Form S-8 relating to employee benefit plans.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jc w:val="both"/>
        <w:ind w:firstLine="656"/>
        <w:spacing w:after="0" w:line="267" w:lineRule="auto"/>
        <w:tabs>
          <w:tab w:leader="none" w:pos="12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Securities (including any cash exercise of the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or the Warrants) as described in the Registration Statement, the Pricing Disclosure Package and the Prospectus under the heading “Use of Proceeds.”</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3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any action designed to or that could reasonably be expected to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result in any stabilization or manipulation of the price of the Stock.</w:t>
      </w:r>
    </w:p>
    <w:p>
      <w:pPr>
        <w:spacing w:after="0" w:line="15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will use its best efforts to list the Shares, the Pre-Funded Warrant Shares and the Warrant Shares on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Market.</w:t>
      </w:r>
    </w:p>
    <w:p>
      <w:pPr>
        <w:spacing w:after="0" w:line="204" w:lineRule="exact"/>
        <w:rPr>
          <w:rFonts w:ascii="Times New Roman" w:cs="Times New Roman" w:eastAsia="Times New Roman" w:hAnsi="Times New Roman"/>
          <w:sz w:val="18"/>
          <w:szCs w:val="18"/>
          <w:color w:val="auto"/>
        </w:rPr>
      </w:pPr>
    </w:p>
    <w:p>
      <w:pPr>
        <w:jc w:val="both"/>
        <w:ind w:firstLine="656"/>
        <w:spacing w:after="0" w:line="258" w:lineRule="auto"/>
        <w:tabs>
          <w:tab w:leader="none" w:pos="11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So long as the Securities are outstanding, the Company will furnish to the Representative, as soon as they are available,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 to the extent they are filed on the Commission’s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656"/>
        <w:spacing w:after="0" w:line="284" w:lineRule="auto"/>
        <w:tabs>
          <w:tab w:leader="none" w:pos="14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that is not filed with the Commission in accordance with Rule 433 under the Securities Act.</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2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FinCEN</w:t>
      </w:r>
      <w:r>
        <w:rPr>
          <w:rFonts w:ascii="Times New Roman" w:cs="Times New Roman" w:eastAsia="Times New Roman" w:hAnsi="Times New Roman"/>
          <w:sz w:val="18"/>
          <w:szCs w:val="18"/>
          <w:color w:val="auto"/>
        </w:rPr>
        <w:t>. The Company has provided to the Representative a properly completed and executed Certificate Regarding Beneficial Owners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Entity Customers, together with any required identifying documentation, and the Company hereby undertakes to provide such additional supporting documentation as the Representative may reasonably request in connection with verification of the forgoing certification.</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Pre-Funded Warrant Shares and Warrant Shares</w:t>
      </w:r>
      <w:r>
        <w:rPr>
          <w:rFonts w:ascii="Times New Roman" w:cs="Times New Roman" w:eastAsia="Times New Roman" w:hAnsi="Times New Roman"/>
          <w:sz w:val="18"/>
          <w:szCs w:val="18"/>
          <w:color w:val="auto"/>
        </w:rPr>
        <w:t>. The Company will reserve and keep available for the exercise of the Pre-Funded Warrants such number of authorized but unissued shares of Common Stock as are sufficient to permit the exercise in full of the Pre-Funded Warrants for the Pre-Funded Warrant Shares. The Company will reserve and keep available for the exercise of the Warrants such number of authorized but unissued shares of Common Stock as are sufficient to permit the exercise in full of the Warrants for the Warrant Shares.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ind w:left="1280" w:hanging="624"/>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225" w:lineRule="exact"/>
        <w:rPr>
          <w:sz w:val="20"/>
          <w:szCs w:val="20"/>
          <w:color w:val="auto"/>
        </w:rPr>
      </w:pPr>
    </w:p>
    <w:p>
      <w:pPr>
        <w:jc w:val="both"/>
        <w:ind w:firstLine="656"/>
        <w:spacing w:after="0" w:line="255" w:lineRule="auto"/>
        <w:tabs>
          <w:tab w:leader="none" w:pos="1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a previously filed Issuer Free Writing Prospectus, (ii) any Issuer Free Writing Prospectus listed on Annex A or prepared pursuant to Section 3(b)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 w:cs="Times New Roman" w:eastAsia="Times New Roman" w:hAnsi="Times New Roman"/>
          <w:sz w:val="18"/>
          <w:szCs w:val="18"/>
          <w:b w:val="1"/>
          <w:bCs w:val="1"/>
          <w:color w:val="auto"/>
        </w:rPr>
        <w:t>Underwriter Free Writing Prospectus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2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not and will not, without the prior written consent of the Company, use any free writing prospectus that contains the final terms of the Securities unless such terms have previously been included in a free writing prospectus filed with the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Underwriters may use a term sheet substantially in the form of Annex B hereto without the consent of the Company;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2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2" w:lineRule="exact"/>
        <w:rPr>
          <w:sz w:val="20"/>
          <w:szCs w:val="20"/>
          <w:color w:val="auto"/>
        </w:rPr>
      </w:pPr>
    </w:p>
    <w:p>
      <w:pPr>
        <w:jc w:val="both"/>
        <w:ind w:firstLine="656"/>
        <w:spacing w:after="0" w:line="266" w:lineRule="auto"/>
        <w:tabs>
          <w:tab w:leader="none" w:pos="12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Underwritten Securities on the Closing Date as provided herein is subject to the performance by the Company of its covenants and other obligations hereunder and to the following additional conditions:</w:t>
      </w:r>
    </w:p>
    <w:p>
      <w:pPr>
        <w:spacing w:after="0" w:line="174" w:lineRule="exact"/>
        <w:rPr>
          <w:sz w:val="20"/>
          <w:szCs w:val="20"/>
          <w:color w:val="auto"/>
        </w:rPr>
      </w:pPr>
    </w:p>
    <w:p>
      <w:pPr>
        <w:jc w:val="both"/>
        <w:ind w:firstLine="656"/>
        <w:spacing w:after="0" w:line="258" w:lineRule="auto"/>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2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and on and as of the Closing Date; and the statements of the Company and its officers made in any certificates delivered pursuant to this Agreement shall be true and correct on and as of the Closing Date.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656"/>
        <w:spacing w:after="0" w:line="253" w:lineRule="auto"/>
        <w:tabs>
          <w:tab w:leader="none" w:pos="12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(i) Neither the Company nor any of its subsidiaries shall have sustained since the date of the latest audited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included or incorporated by reference in the Registration Statement, the Pricing Disclosure Package and the Prospectus any loss or interference with its business from fire, explosion, flood or other calamity, including a health epidemic or pandemic outbreak of infectious disease, whether or not covered by insurance, or from any labor dispute or court or governmental action, order or decree, otherwise than as set forth or contemplated in the Registration Statement, the Pricing Disclosure Package and the Prospectus, and (ii) since the respective dates as of which information is given in the Registration Statement, the Pricing Disclosure Package and the Prospectus there shall not have been any change in the capital stock or long term debt of the Company or any of its subsidiaries or any change or effect, or any development involving a prospective change or effect, in or affecting (x) the business, properties, general affairs, management, financial position, stockholders' equity, results of operations or prospects of the Company and its subsidiaries, taken as a whole, except as set forth or contemplated in the Registration Statement, the Pricing Disclosure Package and the Prospectus, or (y) the ability of the Company to perform its obligations under this Agreement, including the issuance and sale of the Securities, or to consummate the transactions contemplated in the Registration Statement, the Pricing Disclosure Package and the Prospectus, the effect of which, in any such case described in clause (i) or (ii), is in your judgment so material and adverse as to make it impracticable or inadvisable to proceed with the offering or the delivery of the Securities on the terms and in the manner contemplated in the Registration Statement, the Pricing Disclosure Package and the Prospectus.</w:t>
      </w:r>
    </w:p>
    <w:p>
      <w:pPr>
        <w:spacing w:after="0" w:line="187" w:lineRule="exact"/>
        <w:rPr>
          <w:rFonts w:ascii="Times New Roman" w:cs="Times New Roman" w:eastAsia="Times New Roman" w:hAnsi="Times New Roman"/>
          <w:sz w:val="18"/>
          <w:szCs w:val="18"/>
          <w:color w:val="auto"/>
        </w:rPr>
      </w:pPr>
    </w:p>
    <w:p>
      <w:pPr>
        <w:jc w:val="both"/>
        <w:ind w:firstLine="656"/>
        <w:spacing w:after="0" w:line="257" w:lineRule="auto"/>
        <w:tabs>
          <w:tab w:leader="none" w:pos="13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Representative shall have received on and as of the Closing Date a certificate of the chief financial officer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accounting officer of the Company and one additional senior executive officer of the Company who is satisfactory to the Representative (i) confirming that such officers have carefully reviewed the Registration Statement, the Pricing Disclosure Package and the Prospectus and, to the knowledge of such officers, the representation set forth in Section 3(a) hereof is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and (c) above.</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12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Ernst &amp; Young LLP shall have furnished to the Representative,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contained or incorporated by reference in the Registration Statement, the Pricing Disclosure Package and the Prospectus; provided, that the letter delivered on the Closing Date shall use a “cut-off” date no more than three business days prior to such Closing Date.</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Cooley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at the request of the Company, their written opinion and 10b-5 statement, dated the Closing Date and addressed to the Underwriters, in form and substance reasonably satisfactory to the Representative.</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3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 shall have received on and as of the Closing Date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10b-5 statement of White &amp; Case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both"/>
        <w:ind w:firstLine="656"/>
        <w:spacing w:after="0" w:line="261" w:lineRule="auto"/>
        <w:tabs>
          <w:tab w:leader="none" w:pos="1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 shall have received on the date hereof and as of the Closing Date, satisfactory evidence of the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Suspension of Trading</w:t>
      </w:r>
      <w:r>
        <w:rPr>
          <w:rFonts w:ascii="Times New Roman" w:cs="Times New Roman" w:eastAsia="Times New Roman" w:hAnsi="Times New Roman"/>
          <w:sz w:val="18"/>
          <w:szCs w:val="18"/>
          <w:color w:val="auto"/>
        </w:rPr>
        <w:t>. On or after the Applicable Time there shall not have occurred any of the following: (i) a suspension or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in trading in securities generally on the New York Stock Exchange or on the Nasdaq Market; (ii) a suspension or material limitation in trading in the Company’s securities on the Nasdaq Market;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offering or the delivery of the Securities being delivered at such time of delivery on the terms and in the manner contemplated in the Pricing Disclosure Package and the Prospectus.</w:t>
      </w:r>
    </w:p>
    <w:p>
      <w:pPr>
        <w:spacing w:after="0" w:line="184"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Prospectus Delivery Requirement</w:t>
      </w:r>
      <w:r>
        <w:rPr>
          <w:rFonts w:ascii="Times New Roman" w:cs="Times New Roman" w:eastAsia="Times New Roman" w:hAnsi="Times New Roman"/>
          <w:sz w:val="17"/>
          <w:szCs w:val="17"/>
          <w:color w:val="auto"/>
        </w:rPr>
        <w:t>. The Company shall have complied with the provisions of Section 4(b) hereof with respect to furnishing</w:t>
      </w:r>
    </w:p>
    <w:p>
      <w:pPr>
        <w:spacing w:after="0" w:line="4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prospectuses.</w:t>
      </w:r>
    </w:p>
    <w:p>
      <w:pPr>
        <w:spacing w:after="0" w:line="204" w:lineRule="exact"/>
        <w:rPr>
          <w:rFonts w:ascii="Times New Roman" w:cs="Times New Roman" w:eastAsia="Times New Roman" w:hAnsi="Times New Roman"/>
          <w:sz w:val="17"/>
          <w:szCs w:val="17"/>
          <w:color w:val="auto"/>
        </w:rPr>
      </w:pPr>
    </w:p>
    <w:p>
      <w:pPr>
        <w:ind w:firstLine="656"/>
        <w:spacing w:after="0" w:line="284" w:lineRule="auto"/>
        <w:tabs>
          <w:tab w:leader="none" w:pos="13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shall have filed a notification for the listing of the Shares, the Pre-Funded Warrant Shares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Shares with the Nasdaq Market and shall have received no objection thereto from the Nasdaq Market.</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The Representative shall have received electronic copies of the Pre-Funded Warrants,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the Warrants,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executed by the Company.</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between you and certain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Company relating to sales and certain other dispositions of shares of Stock or certain other securities, delivered to you on or before the date hereof, shall be full force and effect on the Closing Date.</w:t>
      </w:r>
    </w:p>
    <w:p>
      <w:pPr>
        <w:spacing w:after="0" w:line="173" w:lineRule="exact"/>
        <w:rPr>
          <w:rFonts w:ascii="Times New Roman" w:cs="Times New Roman" w:eastAsia="Times New Roman" w:hAnsi="Times New Roman"/>
          <w:sz w:val="18"/>
          <w:szCs w:val="18"/>
          <w:color w:val="auto"/>
        </w:rPr>
      </w:pPr>
    </w:p>
    <w:p>
      <w:pPr>
        <w:ind w:right="120" w:firstLine="656"/>
        <w:spacing w:after="0" w:line="284" w:lineRule="auto"/>
        <w:tabs>
          <w:tab w:leader="none" w:pos="13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shall have furnished to the Representative such further certificates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documents as the Representative may reasonably request.</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ind w:left="1280" w:hanging="624"/>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3" w:lineRule="auto"/>
        <w:tabs>
          <w:tab w:leader="none" w:pos="13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will indemnify and hold harmless each Underwriter against any losses,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damages or liabilities, joint or several, to which such Underwriter may become subject, under the Securities Act or otherwise, insofar as such losses, claims, damages or liabilities (or actions in respect thereof) arise out of or are based upon an untrue statement or alleged untrue statement of a material fact contained in the Registration Statement, the base prospectus included in the Registration Statement, the Pricing Disclosure Package or the Prospectus, or any amendment or supplement thereto, any Issuer Free Writing Prospectus, any “roadshow” as defined in Rule 433(h) under the Securities Act (a “</w:t>
      </w:r>
      <w:r>
        <w:rPr>
          <w:rFonts w:ascii="Times New Roman" w:cs="Times New Roman" w:eastAsia="Times New Roman" w:hAnsi="Times New Roman"/>
          <w:sz w:val="18"/>
          <w:szCs w:val="18"/>
          <w:b w:val="1"/>
          <w:bCs w:val="1"/>
          <w:color w:val="auto"/>
        </w:rPr>
        <w:t>roadshow</w:t>
      </w:r>
      <w:r>
        <w:rPr>
          <w:rFonts w:ascii="Times New Roman" w:cs="Times New Roman" w:eastAsia="Times New Roman" w:hAnsi="Times New Roman"/>
          <w:sz w:val="18"/>
          <w:szCs w:val="18"/>
          <w:color w:val="auto"/>
        </w:rPr>
        <w:t>”), any “issuer information” filed or required to be filed pursuant to Rule 433(d) under the Securities Act,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base prospectus included in the Registration Statement, the Pricing Disclosure Package or the Prospectus, or any amendment or supplement thereto, or any Issuer Free Writing Prospectus, in reliance upon and in conformity with the Underwriter Information.</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12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severally and not jointly, will indemnify and hold harmless the Company against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claims, damages or liabilities to which the Company may become subject, under the Securities Act or otherwise, insofar as such losses, claims, damages or liabilities (or actions in respect thereof), joint or several, arise out of or are based upon an untrue statement or alleged untrue statement of a material fact contained in the Registration Statement, the base prospectus included in the Registration Statement, the Pricing Disclosure Package or the Prospectus, or any amendment or supplement thereto, or any Issuer Free Writing Prospectus, or any roadshow,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base prospectus included in the Registration Statement, the Pricing Disclosure Package or the Prospectus or any such amendment or supplement thereto, or any Issuer Free Writing Prospectus, or any roadshow,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 expressly for use therein; it being understood and agreed upon that the only such information furnished by any Underwriter consists of the following information in the Prospectus furnished on behalf of each Underwriter: the concession and reallowance figures appearing in the first paragraph under the caption "Commissions and Expenses," the information contained in the first and second paragraphs under the caption "Market Making, Stabilization and Other Transactions" and the information contained under the caption "Passive Market Making," in the "Underwriting" section.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656"/>
        <w:spacing w:after="0" w:line="252" w:lineRule="auto"/>
        <w:tabs>
          <w:tab w:leader="none" w:pos="12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Promptly after receipt by an indemnified party under subsection (a) or (b) above of notice of the commencement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7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7.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93" w:lineRule="exact"/>
        <w:rPr>
          <w:rFonts w:ascii="Times New Roman" w:cs="Times New Roman" w:eastAsia="Times New Roman" w:hAnsi="Times New Roman"/>
          <w:sz w:val="18"/>
          <w:szCs w:val="18"/>
          <w:color w:val="auto"/>
        </w:rPr>
      </w:pPr>
    </w:p>
    <w:p>
      <w:pPr>
        <w:jc w:val="both"/>
        <w:ind w:firstLine="656"/>
        <w:spacing w:after="0" w:line="253" w:lineRule="auto"/>
        <w:tabs>
          <w:tab w:leader="none" w:pos="12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this Section 7 is unavailable to or insufficient to hold harmless an indemnified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Securities.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185"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paragraph (d)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or liabilities (or actions in respect thereof) referred to in paragraph (d) above shall be deemed to include, subject to the limitations set forth above, any legal or other expenses reasonably incurred by such indemnified party in connection with investigating or defending any such action or claim. Notwithstanding the provisions of paragraphs (d) and (e), in no event shall an Underwriter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underwriting obligations hereunder and not joint.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both"/>
        <w:ind w:firstLine="656"/>
        <w:spacing w:after="0" w:line="257" w:lineRule="auto"/>
        <w:tabs>
          <w:tab w:leader="none" w:pos="13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obligations of the Company under this Section 7 shall be in addition to any liability which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otherwise have and shall extend, upon the same terms and conditions, to each employee, officer and director of each Underwriter, each person, if any, who controls any Underwriter within the meaning of the Securities Act and each broker-dealer or other affiliate of any Underwriter; and the obligations of the Underwriters under this Section 7 shall be in addition to any liability which the respective Underwriters may otherwise have and shall extend, upon the same terms and conditions, to each officer and director of the Company and to each person, if any, who controls the Company within the meaning of the Securities Act.</w:t>
      </w:r>
    </w:p>
    <w:p>
      <w:pPr>
        <w:spacing w:after="0" w:line="184" w:lineRule="exact"/>
        <w:rPr>
          <w:sz w:val="20"/>
          <w:szCs w:val="20"/>
          <w:color w:val="auto"/>
        </w:rPr>
      </w:pPr>
    </w:p>
    <w:p>
      <w:pPr>
        <w:ind w:left="1280" w:hanging="62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prior to the Closing Date (i) trading generally shall have been suspended or materially limited on or by any of the New York Stock Exchange or the Nasdaq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Shares on the Closing Date, on the terms and in the manner contemplated by this Agreement, the Pre-Funded Warrants, the Warrants, the Pricing Disclosure Package and the Prospectus.</w:t>
      </w:r>
    </w:p>
    <w:p>
      <w:pPr>
        <w:spacing w:after="0" w:line="19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18" w:lineRule="exact"/>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defaulting 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Securities that a defaulting Underwriter agreed but failed to purchase.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both"/>
        <w:ind w:firstLine="656"/>
        <w:spacing w:after="0" w:line="256" w:lineRule="auto"/>
        <w:tabs>
          <w:tab w:leader="none" w:pos="13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does not exceed one-eleventh of the aggregate number of Securities to be purchased on such date, then the Company shall have the right to require each non-defaulting Underwriter to purchase the number of Securities that such Underwriter agreed to purchase hereunder on such date plus such Underwriter’s pro rata share (based on the number of Securities that such Underwriter agreed to purchase on such date) of the Securities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3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exceeds one-eleventh of the aggregate amount of Securities to be purchased on such date, or if the Company shall not exercise the right described in paragraph (b) above, then this Agreement.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4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1280" w:hanging="624"/>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656"/>
        <w:spacing w:after="0" w:line="252" w:lineRule="auto"/>
        <w:tabs>
          <w:tab w:leader="none" w:pos="13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reproduction and filing of the Registration Statement, the base prospectus included in the Registration Statement,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4(d) hereof, including the fees and disbursements of counsel for the Underwriters, not to exceed $10,000, in connection with such qualification and in connection with the Blue Sky survey; (iv) all fees and expenses in connection with listing the Securities on the Nasdaq Capital Market; (v) the filing fees incident to, and the fees and disbursements of counsel for the Underwriters, not to exceed $10,000, in connection with, any required review by FINRA of the terms of the sale of the Securities; (vi) the cost of preparing the Securities; (vii) the cost and charges of any transfer agent, registrar and warrant agent; (viii) the reasonable fees, disbursements and expenses of counsel to the Underwriters and (ix) all other costs and expenses incident to the performance of its obligations hereunder which are not otherwise specifically provided for in this Section. It is understood, however, that, except as provided in this Section and Section 7 hereof, the Underwriters will pay all of their own costs and expenses, including the fees of their counsel not contemplated herein, transfer taxes on resale of any of the Securities by them, and any advertising expenses connected with any offers they may make.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656"/>
        <w:spacing w:after="0" w:line="261" w:lineRule="auto"/>
        <w:tabs>
          <w:tab w:leader="none" w:pos="12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(ii) the Company for any reason fails to tender the Securities for delivery to the Underwriters or (iii) the Underwriters decline to purchase the Securities for any reason permitted under this Agreement, the Company agrees to reimburse the Underwriters for all out-of-pocket costs and expenses (including fees and expenses of their counsel) reasonably incurred by the Underwriters in connection with this Agreement and the offering contemplated hereby.</w:t>
      </w:r>
    </w:p>
    <w:p>
      <w:pPr>
        <w:spacing w:after="0" w:line="180" w:lineRule="exact"/>
        <w:rPr>
          <w:sz w:val="20"/>
          <w:szCs w:val="20"/>
          <w:color w:val="auto"/>
        </w:rPr>
      </w:pPr>
    </w:p>
    <w:p>
      <w:pPr>
        <w:jc w:val="both"/>
        <w:ind w:firstLine="656"/>
        <w:spacing w:after="0" w:line="258" w:lineRule="auto"/>
        <w:tabs>
          <w:tab w:leader="none" w:pos="13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p>
    <w:p>
      <w:pPr>
        <w:spacing w:after="0" w:line="225" w:lineRule="exact"/>
        <w:rPr>
          <w:sz w:val="20"/>
          <w:szCs w:val="20"/>
          <w:color w:val="auto"/>
        </w:rPr>
      </w:pPr>
    </w:p>
    <w:p>
      <w:pPr>
        <w:jc w:val="both"/>
        <w:ind w:firstLine="656"/>
        <w:spacing w:after="0" w:line="261" w:lineRule="auto"/>
        <w:tabs>
          <w:tab w:leader="none" w:pos="13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Underwriters is a Covered Entity and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Underwriters is a Covered Entity or a BHC Act Affiliate of such Underwriter and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16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§7.3(b); or (iii) a “covered FSI” as that term is defined in, and interpreted in accordance with, 12 C.F.R.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7" w:lineRule="exact"/>
        <w:rPr>
          <w:sz w:val="20"/>
          <w:szCs w:val="20"/>
          <w:color w:val="auto"/>
        </w:rPr>
      </w:pPr>
    </w:p>
    <w:p>
      <w:pPr>
        <w:jc w:val="both"/>
        <w:ind w:firstLine="656"/>
        <w:spacing w:after="0" w:line="253" w:lineRule="auto"/>
        <w:tabs>
          <w:tab w:leader="none" w:pos="13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Analysts</w:t>
      </w:r>
      <w:r>
        <w:rPr>
          <w:rFonts w:ascii="Times New Roman" w:cs="Times New Roman" w:eastAsia="Times New Roman" w:hAnsi="Times New Roman"/>
          <w:sz w:val="18"/>
          <w:szCs w:val="18"/>
          <w:color w:val="auto"/>
        </w:rPr>
        <w:t>. 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27" w:lineRule="auto"/>
        <w:tabs>
          <w:tab w:leader="none" w:pos="134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 c/o Cantor Fitzgerald &amp; Co., 110 East 59th Street,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 Attention: Capital Markets (Email: prospectus@cantor.com); with copies to White &amp; Case LLP, 1221 Avenue of the Americas, New York, New York, 10020, Attention: Jessica Y. Chen. Notices to the Company shall be given to it at Sangamo Therapeutics, Inc., Attention: Prathyusha Duraibabu, Chief Financial Officer, 501 Canal Boulevard, Richmond, California 94804, facsimile:</w:t>
      </w:r>
    </w:p>
    <w:p>
      <w:pPr>
        <w:spacing w:after="0" w:line="1" w:lineRule="exact"/>
        <w:rPr>
          <w:rFonts w:ascii="Times New Roman" w:cs="Times New Roman" w:eastAsia="Times New Roman" w:hAnsi="Times New Roman"/>
          <w:sz w:val="18"/>
          <w:szCs w:val="18"/>
          <w:color w:val="auto"/>
        </w:rPr>
      </w:pPr>
    </w:p>
    <w:p>
      <w:pPr>
        <w:ind w:left="440" w:hanging="432"/>
        <w:spacing w:after="0" w:line="181" w:lineRule="auto"/>
        <w:tabs>
          <w:tab w:leader="none" w:pos="4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236-8951; with copies to Cooley LLP, 3 Embarcadero Center,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Floor, San Francisco, CA 94111, Attention: Chadwick Mills, facsimile: (415) 693-</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2222.</w:t>
      </w:r>
    </w:p>
    <w:p>
      <w:pPr>
        <w:spacing w:after="0" w:line="203" w:lineRule="exact"/>
        <w:rPr>
          <w:rFonts w:ascii="Times New Roman" w:cs="Times New Roman" w:eastAsia="Times New Roman" w:hAnsi="Times New Roman"/>
          <w:sz w:val="16"/>
          <w:szCs w:val="16"/>
          <w:color w:val="auto"/>
        </w:rPr>
      </w:pPr>
    </w:p>
    <w:p>
      <w:pPr>
        <w:ind w:firstLine="656"/>
        <w:spacing w:after="0" w:line="284" w:lineRule="auto"/>
        <w:tabs>
          <w:tab w:leader="none" w:pos="129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construed in accordance with the laws of the State of New York applicable to agreements made and to be performed in such state.</w:t>
      </w:r>
    </w:p>
    <w:p>
      <w:pPr>
        <w:spacing w:after="0" w:line="158" w:lineRule="exact"/>
        <w:rPr>
          <w:rFonts w:ascii="Times New Roman" w:cs="Times New Roman" w:eastAsia="Times New Roman" w:hAnsi="Times New Roman"/>
          <w:sz w:val="18"/>
          <w:szCs w:val="18"/>
          <w:color w:val="auto"/>
        </w:rPr>
      </w:pPr>
    </w:p>
    <w:p>
      <w:pPr>
        <w:jc w:val="both"/>
        <w:ind w:firstLine="656"/>
        <w:spacing w:after="0" w:line="258" w:lineRule="auto"/>
        <w:tabs>
          <w:tab w:leader="none" w:pos="125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hereby submits to the exclusive jurisdiction of the U.S. federal and New York state courts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ind w:firstLine="656"/>
        <w:spacing w:after="0" w:line="284" w:lineRule="auto"/>
        <w:tabs>
          <w:tab w:leader="none" w:pos="14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3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3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Agreement.</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2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interpretation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SANGAMO THERAPEUTICS,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Alexander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27305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Alexander Macrae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Acting on its own behalf</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 as Representative of the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CANTOR FITZGERALD &amp; CO.</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27305</wp:posOffset>
            </wp:positionV>
            <wp:extent cx="321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Jason Fenton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Global Co-Head of ECM</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u w:val="single" w:color="auto"/>
          <w:color w:val="auto"/>
        </w:rPr>
        <w:t>Schedule 1</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Underwriter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Pre-</w:t>
            </w:r>
          </w:p>
        </w:tc>
        <w:tc>
          <w:tcPr>
            <w:tcW w:w="7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00" w:type="dxa"/>
            <w:vAlign w:val="bottom"/>
            <w:gridSpan w:val="5"/>
            <w:vMerge w:val="restart"/>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7"/>
              </w:rPr>
              <w:t>Funded Warrants</w:t>
            </w:r>
          </w:p>
        </w:tc>
        <w:tc>
          <w:tcPr>
            <w:tcW w:w="7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0"/>
              </w:rPr>
              <w:t>Warrants</w:t>
            </w:r>
          </w:p>
        </w:tc>
        <w:tc>
          <w:tcPr>
            <w:tcW w:w="1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(1)</w:t>
            </w:r>
          </w:p>
        </w:tc>
        <w:tc>
          <w:tcPr>
            <w:tcW w:w="20" w:type="dxa"/>
            <w:vAlign w:val="bottom"/>
            <w:tcBorders>
              <w:bottom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gridSpan w:val="5"/>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15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12,235,000</w:t>
            </w:r>
          </w:p>
        </w:tc>
        <w:tc>
          <w:tcPr>
            <w:tcW w:w="5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34,398,393</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8"/>
              </w:rPr>
              <w:t>46,633,393</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12,235,000</w:t>
            </w:r>
          </w:p>
        </w:tc>
        <w:tc>
          <w:tcPr>
            <w:tcW w:w="5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34,398,393</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8"/>
              </w:rPr>
              <w:t>46,633,393</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(1) Each Warrant is exercisable for one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21"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Free Writing Prospectuses: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Issuer Free Writing Prospectus, dated May 12, 2025.</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Pricing Information Provided Orally by Underwriters: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offering price per Share and accompanying Warrant is $0.50.</w:t>
      </w:r>
    </w:p>
    <w:p>
      <w:pPr>
        <w:spacing w:after="0" w:line="225" w:lineRule="exact"/>
        <w:rPr>
          <w:rFonts w:ascii="Times New Roman" w:cs="Times New Roman" w:eastAsia="Times New Roman" w:hAnsi="Times New Roman"/>
          <w:sz w:val="18"/>
          <w:szCs w:val="18"/>
          <w:b w:val="1"/>
          <w:bCs w:val="1"/>
          <w:color w:val="auto"/>
        </w:rPr>
      </w:pPr>
    </w:p>
    <w:p>
      <w:pPr>
        <w:ind w:left="660" w:right="482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offering price per Pre-Funded Warrant and accompanying Warrant is $0.49. The Company is selling 12,235,000 Shares.</w:t>
      </w:r>
    </w:p>
    <w:p>
      <w:pPr>
        <w:spacing w:after="0" w:line="1" w:lineRule="exact"/>
        <w:rPr>
          <w:rFonts w:ascii="Times New Roman" w:cs="Times New Roman" w:eastAsia="Times New Roman" w:hAnsi="Times New Roman"/>
          <w:sz w:val="18"/>
          <w:szCs w:val="18"/>
          <w:b w:val="1"/>
          <w:bCs w:val="1"/>
          <w:color w:val="auto"/>
        </w:rPr>
      </w:pPr>
    </w:p>
    <w:p>
      <w:pPr>
        <w:ind w:left="660" w:right="210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selling Pre-Funded Warrants to purchase up to an aggregate of 34,398,393 shares of Common Stock. The Company is selling Warrants to purchase up to an aggregate of 46,633,393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Annex B</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Sangamo Therapeutics, Inc.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Pricing Term Sheet</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pacing w:after="0" w:line="2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7"/>
          <w:szCs w:val="17"/>
          <w:color w:val="auto"/>
        </w:rPr>
        <w:t>__________,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antor</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itzgerald</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listed in Schedule 1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 referred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59th Street,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Sangamo Therapeutics, Inc. –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you, as Representative of the several Underwriters,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Sangamo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the several Underwriters named in Schedule 1 to the Underwriting Agreement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common stock, par value $0.01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pre-funded warrants to purchase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warrants to purchase shares of Common Stock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together with the Common Stock and the Pre-Funded Warrants,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Capitalized terms used herein and not otherwise defined shall have the meanings set forth in the Underwriting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Offering of the Securities, and for other good and valuable consideration receipt of which is hereby acknowledged, the undersigned hereby agrees that, without the prior written consent of the Representative on behalf of the Underwriters, the undersigned will not, during the period ending 30 days after the date of the final prospectus supplement relating to the Offering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now or hereafter by the undersigned in accordance with the rules and regulations of the Securities and Exchange Commission (such shares or securities, the “</w:t>
      </w:r>
      <w:r>
        <w:rPr>
          <w:rFonts w:ascii="Times New Roman" w:cs="Times New Roman" w:eastAsia="Times New Roman" w:hAnsi="Times New Roman"/>
          <w:sz w:val="18"/>
          <w:szCs w:val="18"/>
          <w:b w:val="1"/>
          <w:bCs w:val="1"/>
          <w:color w:val="auto"/>
        </w:rPr>
        <w:t>Beneficially Owned Shares</w:t>
      </w:r>
      <w:r>
        <w:rPr>
          <w:rFonts w:ascii="Times New Roman" w:cs="Times New Roman" w:eastAsia="Times New Roman" w:hAnsi="Times New Roman"/>
          <w:sz w:val="18"/>
          <w:szCs w:val="18"/>
          <w:color w:val="auto"/>
        </w:rPr>
        <w:t>”) and securities which may be issued upon exercise of a stock option or warrant),</w:t>
      </w:r>
    </w:p>
    <w:p>
      <w:pPr>
        <w:spacing w:after="0" w:line="1" w:lineRule="exact"/>
        <w:rPr>
          <w:sz w:val="20"/>
          <w:szCs w:val="20"/>
          <w:color w:val="auto"/>
        </w:rPr>
      </w:pPr>
    </w:p>
    <w:p>
      <w:pPr>
        <w:jc w:val="both"/>
        <w:ind w:firstLine="8"/>
        <w:spacing w:after="0" w:line="250" w:lineRule="auto"/>
        <w:tabs>
          <w:tab w:leader="none" w:pos="2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Beneficially Owned Shares, whether any such transaction described in clause (1) or (2) above is to be settled by delivery of Common Stock or such other securities, in cash or otherwise (any such sale, loan, pledge or other disposition, or transfer of economic consequences,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(3) make any demand for or exercise any right with respect to the registration of any shares of Common Stock or any security convertible into or exercisable or exchangeable for Common Stock, or</w:t>
      </w:r>
    </w:p>
    <w:p>
      <w:pPr>
        <w:spacing w:after="0" w:line="2" w:lineRule="exact"/>
        <w:rPr>
          <w:rFonts w:ascii="Times New Roman" w:cs="Times New Roman" w:eastAsia="Times New Roman" w:hAnsi="Times New Roman"/>
          <w:sz w:val="18"/>
          <w:szCs w:val="18"/>
          <w:color w:val="auto"/>
        </w:rPr>
      </w:pPr>
    </w:p>
    <w:p>
      <w:pPr>
        <w:ind w:right="20" w:firstLine="8"/>
        <w:spacing w:after="0" w:line="260" w:lineRule="auto"/>
        <w:tabs>
          <w:tab w:leader="none" w:pos="2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publicly announce any intention to engage in or cause any action, activity, transaction or arrangement described in clause (1), (2) or (3) above, in each case other than:</w:t>
      </w:r>
    </w:p>
    <w:p>
      <w:pPr>
        <w:spacing w:after="0" w:line="18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Beneficially Owned Shares, Common Stock or securities convertible into or exercisable or exchangeable for Common Stock</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a bona fide gift or gifts, (ii) to any trust for the direct or indirect benefit of the undersigned or the immediate family of the undersigned, (iii) to any “affiliate” (as that term is defined in Rule 405 under the Securities Act of 1933, as amended) of the undersigned or (iv) by will or intestacy to the undersigned’s legal representative, heir or legatee;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firstLine="656"/>
        <w:spacing w:after="0" w:line="282" w:lineRule="auto"/>
        <w:tabs>
          <w:tab w:leader="none" w:pos="13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contract, instruction or plan complying with Rule 10b5-1 under the Securities Exchange Act of 1934, as amended, that has been entered into by the undersigned prior to the date of this Lock-up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exercise of any stock option issued pursuant to the Company’s existing stock option plan, including any exercise effected by the delivery of shares of Common Stock held by the undersigned;</w:t>
      </w:r>
    </w:p>
    <w:p>
      <w:pPr>
        <w:spacing w:after="0" w:line="16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restricted stock units into shares of Common Stock as provided in the applicable restricted stock unit issuance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3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Common Stock to the Company in connection with the undersigned’s tax withholding obligation upon issuance of such shares pursuant to the applicable restricted stock unit issuance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transfer of shares of Common Stock (including in open market transactions through a broker) to satisfy the undersigned’s tax withholding obligations in connection with the vesting of equity awards pursuant to the Company’s equity compensation plans or arrangements, which are described in the Registration Statement, the Pricing Disclosure Package and the Prospectus, and which equity awards vest during the Lock-Up Period;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sale or an offer to purchase 100% of the outstanding Common Stock, whether pursuant to a merger, tender offer or otherwise, to a third party or group of third parties resulting in a Change of Control (as defined below) and approved by the Company’s board of directors, provided that, in the event that such a Change of Control is not completed, the undersigned’s shares shall remain subject to the restrictions contained in this Lock-up Agreement and title to the undersigned’s shares shall remain with the undersigned; or</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4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Common Stock, provided that such plan does not provide for the transfer and sale of Common Stock during the Lock-Up Period, and provided further that, except as required by applicable securities laws, no public announcement of the establishment or existence of such plan, and no filing with the Securities and Exchange Commission or any other regulatory authority in respect thereof or for transactions thereunder or contemplated thereby, by the undersigned, the Company or any other person, shall be required, and no announcement or filing shall be made voluntarily by the undersigned, the Company or any other person prior to the expiration of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case of any transfer or distribution pursuant to clause (b) above, each donee or distributee or transferee shall execute and deliver to the Representative a lock-up letter for the balance of the Lock-Up Period in the form of this paragraph and, pursuant to clauses (b)(ii) through (iv) above, no filing by any party (donor, donee, distributor, distributee, transferor or transferee) under the Exchange Act, or other public announcement reporting a reduction in the beneficial ownership shall be required or shall be made voluntarily in connection with such transfer or distribution. In the case of any transfer or distribution pursuant to clause (b)(i) above,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Lock-Up Period, such filing, report or announcement shall clearly indicate in the footnotes thereto the nature and conditions of such transfer. For the avoidance of doubt, any shares of Common Stock received by the undersigned upon the exercise of a stock option or conversion of restricted stock units as described in foregoing clauses (c) and (d) shall be subject to the restrictions under this Lock-up Agreement. In the case of any sale or transfer pursuant to clause (f) above, any public filing, report or announcement of any such sale or transfer shall disclose that the sale or transfer was for the purpose of covering the withholding taxes payable.</w:t>
      </w:r>
    </w:p>
    <w:p>
      <w:pPr>
        <w:spacing w:after="0" w:line="1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For the purposes of this Lock-up Agreement, (1)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spouse, domestic partner, lineal descendant (including adopted children), father, mother, brother or sister of the transferor and (2)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transfer (whether by tender offer, merger, consolidation or other similar transaction), in one transaction or a series of related transactions, to a person or group of affiliated persons (other than an Underwriter pursuant to the Offering), of the Company’s voting securities if, after such transfer, such person or group of affiliated persons would hold more than 50% of the outstanding voting securities of the Company (or the surviving entity).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prohibited by this Lock-up Agreement during the Lock-Up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Lock-up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if (i) the Underwriting Agreement does not become effective by May 31, 2025, (ii) the Underwriting Agreement (other than the provisions thereof which survive termination) shall terminate or be terminated prior to payment for and delivery of the Securities to be sold thereunder, or (iii) the Company notifies the Representative in writing that it will not be proceeding with the Offering prior to the execution of the Underwriting Agreement, the undersigned shall be released from, all obligations under this Lock-up Agreement. The undersigned understands that the Underwriters are entering into the Underwriting Agreement and proceeding with the Offering in reliance upon this Lock-up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Lock-up Agreement and any claim, controversy or dispute arising under or related to this Lock-up Agreement shall be governed by and construed in accordance with the laws of the State of New York applicable to agreements made and to be performed in such state.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161925</wp:posOffset>
            </wp:positionV>
            <wp:extent cx="32061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2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C</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 OF WARRANT</w:t>
      </w:r>
    </w:p>
    <w:p>
      <w:pPr>
        <w:spacing w:after="0" w:line="2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May [ ], 2025 (such date, the “</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Warrant No.: PF-[</w:t>
        <w:tab/>
        <w:t>]</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the registered holder hereof or its permitted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set forth herein, at any time on or</w:t>
      </w:r>
    </w:p>
    <w:p>
      <w:pPr>
        <w:ind w:right="40"/>
        <w:spacing w:after="0" w:line="252" w:lineRule="auto"/>
        <w:rPr>
          <w:sz w:val="20"/>
          <w:szCs w:val="20"/>
          <w:color w:val="auto"/>
        </w:rPr>
      </w:pPr>
      <w:r>
        <w:rPr>
          <w:rFonts w:ascii="Times New Roman" w:cs="Times New Roman" w:eastAsia="Times New Roman" w:hAnsi="Times New Roman"/>
          <w:sz w:val="18"/>
          <w:szCs w:val="18"/>
          <w:color w:val="auto"/>
        </w:rPr>
        <w:t>after the Issue Date, to subscribe for and purchase from Sangamo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shares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 This Warrant has been issued pursuant to (i) the terms of the Underwriting Agreement, dated May 12, 2025, between the Company and Cantor Fitzgerald &amp; Co., as the representative of the several underwriters named therein, (ii) the Company’s registration statement on Form S-3 (File No. 333-283179)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(iii) the Company’s prospectus supplement dated May 12, 2025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to the base prospectus contained in the Registration Statement dated November 19,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sz w:val="20"/>
          <w:szCs w:val="20"/>
          <w:color w:val="auto"/>
        </w:rPr>
      </w:pPr>
    </w:p>
    <w:p>
      <w:pPr>
        <w:ind w:right="320" w:firstLine="8"/>
        <w:spacing w:after="0" w:line="282" w:lineRule="auto"/>
        <w:tabs>
          <w:tab w:leader="none" w:pos="2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0" w:firstLine="8"/>
        <w:spacing w:after="0" w:line="256"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Issue Date, directly or indirectly managed or advised by the Holder’s investment manager, (ii) any direct or indirect Affiliates of the Holder or any of the foregoing, (iii) any Person acting or who could be deemed to be acting as a Group together with the Holder or any of the foregoing and (iv) any other Persons whose beneficial ownership of Common Stock would or could be aggregated with the Holder’s and the other Attribution Parties for purposes of Section 13(d) or Section 16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For clarity, the purpose of the foregoing is to subject collectively the Holder and all other Attribution Parties to the Maximum Percentage (as defined in Section 2(e)).</w:t>
      </w:r>
    </w:p>
    <w:p>
      <w:pPr>
        <w:spacing w:after="0" w:line="18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w:t>
      </w:r>
    </w:p>
    <w:p>
      <w:pPr>
        <w:spacing w:after="0" w:line="225" w:lineRule="exact"/>
        <w:rPr>
          <w:rFonts w:ascii="Times New Roman" w:cs="Times New Roman" w:eastAsia="Times New Roman" w:hAnsi="Times New Roman"/>
          <w:sz w:val="18"/>
          <w:szCs w:val="18"/>
          <w:color w:val="auto"/>
        </w:rPr>
      </w:pPr>
    </w:p>
    <w:p>
      <w:pPr>
        <w:ind w:right="540" w:firstLine="8"/>
        <w:spacing w:after="0" w:line="282"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that is a federal legal holiday in the United States or any day on which banking institutions in the city of New York, New York are authorized or required by law or other governmental action to close.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61" w:lineRule="exact"/>
        <w:rPr>
          <w:rFonts w:ascii="Times New Roman" w:cs="Times New Roman" w:eastAsia="Times New Roman" w:hAnsi="Times New Roman"/>
          <w:sz w:val="18"/>
          <w:szCs w:val="18"/>
          <w:color w:val="auto"/>
        </w:rPr>
      </w:pPr>
    </w:p>
    <w:p>
      <w:pPr>
        <w:ind w:right="100" w:firstLine="8"/>
        <w:spacing w:after="0" w:line="282"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Trading Market with respect to the Common Stock that is in effect on the date of delivery of an applicable Notice of Exercise, which as of the Issue Date was “T+1.”</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Common Stock is traded on the Trading Market.</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2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the principal securities exchange or securities market, including an over-the-counter market, on which the Common Stock is then traded in the United States.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6" w:name="page47"/>
    <w:bookmarkEnd w:id="46"/>
    <w:p>
      <w:pPr>
        <w:ind w:right="40" w:firstLine="8"/>
        <w:spacing w:after="0" w:line="253"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Price</w:t>
      </w:r>
      <w:r>
        <w:rPr>
          <w:rFonts w:ascii="Times New Roman" w:cs="Times New Roman" w:eastAsia="Times New Roman" w:hAnsi="Times New Roman"/>
          <w:sz w:val="18"/>
          <w:szCs w:val="18"/>
          <w:color w:val="auto"/>
        </w:rPr>
        <w:t>” means, for any security as of any date, the dollar volume-weighted average price for such security on the Trading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published by OTC Markets Group, Inc. (or a similar organization or agency succeeding to its functions of reporting prices). If the Weighted Average Price cannot be calculated for such security on such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5(n) with the term “Weighted Average Price” being substituted for the term “Exercise Price.” All such determinations shall be appropriately adjusted for any stock dividend, stock split, stock combination or other similar transaction during such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
        <w:spacing w:after="0" w:line="252" w:lineRule="auto"/>
        <w:tabs>
          <w:tab w:leader="none" w:pos="2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Subject to the terms and conditions hereof, the purchase rights represented by this Warrant may be exercised, in whole or in part, at any time or times on or after the Issue Date by delivery (whether via email or otherwise) to the Company (or such other office or agency of the Company as it may designate by notice in writing to the registered Holder at the address of the Holder appearing on the books of the Company) of a duly executed copy of the Notice of Exercise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and by payment to the Company of an amount equal to the aggregate Exercise Price of the Warrant Shares thereby purchased by wire transfer (or by notifying the Company that this Warrant is being exercised pursuant to a Cashless Exercise (as defined below)). No ink-original Notice of Exercise shall be required, nor shall any medallion guarantee (or other type of guarantee or notarization) of any Notice of Exercise form be required.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$0.01, subject to adjustment as provided herein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Certificates for shares purchased hereunder shall be transmitted to the Holder by crediting the account of the Holder’s prime broker with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Deposit/Withdrawal at Custodian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system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 and otherwise by physical delivery to the address specified by the Holder in the Notice of Exercise no later than the number of Trading Days comprising the Standard Settlement Period after the receipt by the Company of the Notice of Exercise (provided that payment of the Exercise Price (or notification of Cashless Exercise, if applicable) has then been received by the Company) (such date, the “</w:t>
      </w:r>
      <w:r>
        <w:rPr>
          <w:rFonts w:ascii="Times New Roman" w:cs="Times New Roman" w:eastAsia="Times New Roman" w:hAnsi="Times New Roman"/>
          <w:sz w:val="18"/>
          <w:szCs w:val="18"/>
          <w:u w:val="single" w:color="auto"/>
          <w:color w:val="auto"/>
        </w:rPr>
        <w:t>Warrant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Delivery Date</w:t>
      </w:r>
      <w:r>
        <w:rPr>
          <w:rFonts w:ascii="Times New Roman" w:cs="Times New Roman" w:eastAsia="Times New Roman" w:hAnsi="Times New Roman"/>
          <w:sz w:val="18"/>
          <w:szCs w:val="18"/>
          <w:color w:val="auto"/>
        </w:rPr>
        <w:t>”). This Warrant shall be deemed to have been exercised upon proper delivery of the Notice of Exercise and payment of the Exercise Price (or notification of Cashless Exercise). The Warrant Shares shall be deemed to have been issued, and the Holder or any other person so designated to be named therein shall be deemed to have become a holder of record of such shares for all purposes, as of the date the Warrant has been exercised. The Company shall use commercially reasonable efforts to maintain a transfer agent that is a participant in the FAST program so long as this Warrant remains outstanding and exercisable.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Delivery of New Warrant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to this Warrant.</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its transfer agent to transmit to the Holder the Warrant Shares in accordance with the provisions of Section 2(c)(i) pursuant to an exercise on or before the Warrant Share Delivery Date (other than a failure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promptly, and in any event within two (2) Business Days of receipt of notice from the Holder of the occurrence of a Buy-In, either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or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with an aggregate sale price giving rise to such purchase obligation of $10,000, under clause (A) of the immediately preceding sentence the Company shall be required to pay the Holder $1,000. In connection with the foregoing, the Holder shall provide the Company written notice within three (3) Business Days after the occurrence of a Buy-In, indicating the amounts payable to the Holder in respect of the Buy-In and, upon request of the Company, evidence of the amount of such loss. Subject to Section 5(i),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1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(iv). 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or down) to the nearest whole share.</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8" w:name="page49"/>
    <w:bookmarkEnd w:id="48"/>
    <w:p>
      <w:pPr>
        <w:ind w:right="40" w:firstLine="8"/>
        <w:spacing w:after="0" w:line="261"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the Holder may exercise this Warrant, whether in whole or in part, and in lieu of making the cash payment otherwise contemplated to be made to the Company upon such exercise in payment of the Exercise Price, by effecting a cashless exercise of this Warrant pursuant to which the Holder shall receive upon such cashless exercise the “Net Number” of Warrant Shares determined according to the following formula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720"/>
        <w:spacing w:after="0"/>
        <w:tabs>
          <w:tab w:leader="none" w:pos="2580" w:val="left"/>
        </w:tabs>
        <w:rPr>
          <w:sz w:val="20"/>
          <w:szCs w:val="20"/>
          <w:color w:val="auto"/>
        </w:rPr>
      </w:pPr>
      <w:r>
        <w:rPr>
          <w:rFonts w:ascii="Times New Roman" w:cs="Times New Roman" w:eastAsia="Times New Roman" w:hAnsi="Times New Roman"/>
          <w:sz w:val="18"/>
          <w:szCs w:val="18"/>
          <w:color w:val="auto"/>
        </w:rPr>
        <w:t>Net Number =</w:t>
      </w:r>
      <w:r>
        <w:rPr>
          <w:sz w:val="20"/>
          <w:szCs w:val="20"/>
          <w:color w:val="auto"/>
        </w:rPr>
        <w:tab/>
      </w:r>
      <w:r>
        <w:rPr>
          <w:rFonts w:ascii="Times New Roman" w:cs="Times New Roman" w:eastAsia="Times New Roman" w:hAnsi="Times New Roman"/>
          <w:sz w:val="17"/>
          <w:szCs w:val="17"/>
          <w:color w:val="auto"/>
        </w:rPr>
        <w:t>(A x B) - (A 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17145</wp:posOffset>
            </wp:positionV>
            <wp:extent cx="9258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25830" cy="17145"/>
                    </a:xfrm>
                    <a:prstGeom prst="rect">
                      <a:avLst/>
                    </a:prstGeom>
                    <a:noFill/>
                  </pic:spPr>
                </pic:pic>
              </a:graphicData>
            </a:graphic>
          </wp:anchor>
        </w:drawing>
      </w:r>
    </w:p>
    <w:p>
      <w:pPr>
        <w:spacing w:after="0" w:line="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 total number of shares of Common Stock with respect to which this Warrant is then being exercised.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Weighted Average Price of the shares of Common Stock on the date immediately preceding the date of the Notice of Exercise.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C =</w:t>
      </w:r>
      <w:r>
        <w:rPr>
          <w:sz w:val="20"/>
          <w:szCs w:val="20"/>
          <w:color w:val="auto"/>
        </w:rPr>
        <w:tab/>
      </w:r>
      <w:r>
        <w:rPr>
          <w:rFonts w:ascii="Times New Roman" w:cs="Times New Roman" w:eastAsia="Times New Roman" w:hAnsi="Times New Roman"/>
          <w:sz w:val="17"/>
          <w:szCs w:val="17"/>
          <w:color w:val="auto"/>
        </w:rPr>
        <w:t>the Exercise Price then in effect for the applicable Warrant Shares at the time of such exercise.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Company acknowledges and agrees that in accordance with Section 3(a)(9) of the 1933 Act, the Warrant Shares shall take on the characteristics of the Warrant being exercised, and the holding period of the Warrant being exercised may be tacked on to the holding period of the Warrant Shares. The Company agrees not to take any position contrary to this Section 2(d).</w:t>
      </w:r>
    </w:p>
    <w:p>
      <w:pPr>
        <w:spacing w:after="0" w:line="176" w:lineRule="exact"/>
        <w:rPr>
          <w:sz w:val="20"/>
          <w:szCs w:val="20"/>
          <w:color w:val="auto"/>
        </w:rPr>
      </w:pPr>
    </w:p>
    <w:p>
      <w:pPr>
        <w:ind w:firstLine="8"/>
        <w:spacing w:after="0" w:line="251" w:lineRule="auto"/>
        <w:tabs>
          <w:tab w:leader="none" w:pos="2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4.99%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1934 Act and the rules and regulations promulgated thereunder, it being acknowledged by the Holder that the Company is not representing to the Holder that such calculation is in compliance with Section 13(d) of the 1934 Act and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the case may be, (y) a more recent public announcement by the Company or (z) any other written notice by the Company setting forth the number of shares of Common Stock outstanding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If the Company receives a Notice of Exercise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2(e),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u w:val="single" w:color="auto"/>
          <w:color w:val="auto"/>
        </w:rPr>
        <w:t>Reduction Shares</w:t>
      </w:r>
      <w:r>
        <w:rPr>
          <w:rFonts w:ascii="Times New Roman" w:cs="Times New Roman" w:eastAsia="Times New Roman" w:hAnsi="Times New Roman"/>
          <w:sz w:val="18"/>
          <w:szCs w:val="18"/>
          <w:color w:val="auto"/>
        </w:rPr>
        <w:t>”) and</w:t>
      </w:r>
    </w:p>
    <w:p>
      <w:pPr>
        <w:spacing w:after="0" w:line="6" w:lineRule="exact"/>
        <w:rPr>
          <w:rFonts w:ascii="Times New Roman" w:cs="Times New Roman" w:eastAsia="Times New Roman" w:hAnsi="Times New Roman"/>
          <w:sz w:val="18"/>
          <w:szCs w:val="18"/>
          <w:color w:val="auto"/>
        </w:rPr>
      </w:pPr>
    </w:p>
    <w:p>
      <w:pPr>
        <w:ind w:firstLine="8"/>
        <w:spacing w:after="0" w:line="250" w:lineRule="auto"/>
        <w:tabs>
          <w:tab w:leader="none" w:pos="2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request of the Holder, the Company shall within five (5) Business Days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5635(b) or any successor rule) as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w:t>
      </w:r>
    </w:p>
    <w:p>
      <w:pPr>
        <w:sectPr>
          <w:pgSz w:w="11900" w:h="16838" w:orient="portrait"/>
          <w:cols w:equalWidth="0" w:num="1">
            <w:col w:w="11220"/>
          </w:cols>
          <w:pgMar w:left="320" w:top="121" w:right="359" w:bottom="889"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889"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8"/>
        <w:spacing w:after="0" w:line="255" w:lineRule="auto"/>
        <w:tabs>
          <w:tab w:leader="none" w:pos="2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 or Combination of Common Stock</w:t>
      </w:r>
      <w:r>
        <w:rPr>
          <w:rFonts w:ascii="Times New Roman" w:cs="Times New Roman" w:eastAsia="Times New Roman" w:hAnsi="Times New Roman"/>
          <w:sz w:val="18"/>
          <w:szCs w:val="18"/>
          <w:color w:val="auto"/>
        </w:rPr>
        <w:t>. If at any time while this Warrant is outstanding the Company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at any time while this Warrant is outstanding the Company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3(a) shall become effective at the close of business on the date the subdivision or combination becomes effective.</w:t>
      </w:r>
    </w:p>
    <w:p>
      <w:pPr>
        <w:spacing w:after="0" w:line="188"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during such time as this Warrant is outstanding the Company grants, issues or sells any rights to purchase stock, warrants, securities or other property, in each case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Section 2(e)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Purchase Right would result in the Holder and the other Attribution Parties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and the other Attribution Parties exceeding the Maximum Percentage).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8" w:right="80" w:firstLine="8"/>
        <w:spacing w:after="0" w:line="253" w:lineRule="auto"/>
        <w:tabs>
          <w:tab w:leader="none" w:pos="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at any time while this Warrant is outstanding the Company shall declare or make any dividend or other distribution of its assets (or rights to acquire its assets) to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Section 2(e) hereof)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and the other Attribution Parties exceeding the Maximum Percentage, then the Holder shall not be entitled to participate in such Distribution to such extent (or in the beneficial ownership of any shares of Common Stock as a result of such Distribution to such extent) and the applicable portion of such Distribution shall be held in abeyance for the benefit of the Holder until such time, if ever, as its right thereto would not result in the Holder and the other Attribution Parties exceeding the Maximum Percentage).</w:t>
      </w:r>
    </w:p>
    <w:p>
      <w:pPr>
        <w:spacing w:after="0" w:line="189" w:lineRule="exact"/>
        <w:rPr>
          <w:rFonts w:ascii="Times New Roman" w:cs="Times New Roman" w:eastAsia="Times New Roman" w:hAnsi="Times New Roman"/>
          <w:sz w:val="18"/>
          <w:szCs w:val="18"/>
          <w:color w:val="auto"/>
        </w:rPr>
      </w:pPr>
    </w:p>
    <w:p>
      <w:pPr>
        <w:ind w:left="-8" w:right="60" w:firstLine="8"/>
        <w:spacing w:after="0" w:line="269" w:lineRule="auto"/>
        <w:tabs>
          <w:tab w:leader="none" w:pos="24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Unless earlier exercised, this Warrant shall automatically be deemed exercised in accordance with the provisions of Section 2(d) hereof immediately prior to the consummation of a Fundamental Transaction, without regard to any limitations on exercise contained herein.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means that (A) the Company shall, directly or indirectly, in one or more related transactions, (i) consolidate or merge with or into another Person in which the Company is not the surviving entity or the stockholders of the Company immediately prior to such merger or consolidation do not own, directly or indirectly, more than 50% of the voting power of the surviving entity immediately after such merger or consolidation,</w:t>
      </w:r>
    </w:p>
    <w:p>
      <w:pPr>
        <w:spacing w:after="0" w:line="2" w:lineRule="exact"/>
        <w:rPr>
          <w:rFonts w:ascii="Times New Roman" w:cs="Times New Roman" w:eastAsia="Times New Roman" w:hAnsi="Times New Roman"/>
          <w:sz w:val="17"/>
          <w:szCs w:val="17"/>
          <w:color w:val="auto"/>
        </w:rPr>
      </w:pPr>
    </w:p>
    <w:p>
      <w:pPr>
        <w:ind w:left="-8" w:firstLine="8"/>
        <w:spacing w:after="0" w:line="251" w:lineRule="auto"/>
        <w:tabs>
          <w:tab w:leader="none" w:pos="25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or otherwise dispose of all or substantially all of the properties or assets of the Company to another Person, (iii) allow another Person to make a purchase, tender or exchange offer that is accepted by the holders of more than 50% of the outstanding shares of Common Stock (not including any shares of Common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similar transaction) with another Person whereby (A) such other Person acquires more than 50% of the outstanding shares of Common Stock (not including any shares of Common Stock held by the other Person or other Persons making or party to, or associated or affiliated with the other Persons making or party to, such stock purchase agreement or other business combination) or (B) any Person or Group is or shall become the beneficial owner (determined in accordance with Section 13(d) of the 1934 Act and the rules and regulations promulgated thereunder), directly or indirectly, of more than 50% of the aggregate ordinary voting power represented by issued and outstanding Common Stock.</w:t>
      </w:r>
    </w:p>
    <w:p>
      <w:pPr>
        <w:spacing w:after="0" w:line="193" w:lineRule="exact"/>
        <w:rPr>
          <w:rFonts w:ascii="Times New Roman" w:cs="Times New Roman" w:eastAsia="Times New Roman" w:hAnsi="Times New Roman"/>
          <w:sz w:val="18"/>
          <w:szCs w:val="18"/>
          <w:color w:val="auto"/>
        </w:rPr>
      </w:pPr>
    </w:p>
    <w:p>
      <w:pPr>
        <w:ind w:left="-8" w:right="20" w:firstLine="8"/>
        <w:spacing w:after="0" w:line="254" w:lineRule="auto"/>
        <w:tabs>
          <w:tab w:leader="none" w:pos="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Section 3 shall be made to the nearest cent or the nearest whole share, as the case may be. For purposes of this Section 3, any calculation of the number of shares of Common Stock deemed to be issued and outstanding as of a given date shall not include treasury shares, if any. In any case in which this Section 3 shall require that an adjustment in the Exercise Price be made effective as of a record date for a specified event, if Holder exercises this Warrant after such record date, the Company may elect to defer, until the occurrence of such event, the issuance of the shares of Common Stock and other capital stock of the Company in excess of the shares of Common Stock and other capital stock of the Company, if any, issuable upon such exercise on the basis of the Exercise Price in effect prior to such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such case the Company shall deliver to the Holder a due bill or other appropriate instrument evidencing the Holder’s right to receive such additional shares and/or other capital securities upon the occurrence of the event requiring such adjustment.</w:t>
      </w:r>
    </w:p>
    <w:p>
      <w:pPr>
        <w:spacing w:after="0" w:line="191" w:lineRule="exact"/>
        <w:rPr>
          <w:rFonts w:ascii="Times New Roman" w:cs="Times New Roman" w:eastAsia="Times New Roman" w:hAnsi="Times New Roman"/>
          <w:sz w:val="18"/>
          <w:szCs w:val="18"/>
          <w:color w:val="auto"/>
        </w:rPr>
      </w:pPr>
    </w:p>
    <w:p>
      <w:pPr>
        <w:ind w:left="-8" w:right="780" w:firstLine="8"/>
        <w:spacing w:after="0" w:line="282" w:lineRule="auto"/>
        <w:tabs>
          <w:tab w:leader="none" w:pos="21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3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
        <w:spacing w:after="0" w:line="255" w:lineRule="auto"/>
        <w:tabs>
          <w:tab w:leader="none" w:pos="2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this Warrant and all rights hereunder are transferable, in whole or in part, upon surrender of this Warrant at the principal office of the Company (or other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188" w:lineRule="exact"/>
        <w:rPr>
          <w:rFonts w:ascii="Times New Roman" w:cs="Times New Roman" w:eastAsia="Times New Roman" w:hAnsi="Times New Roman"/>
          <w:sz w:val="18"/>
          <w:szCs w:val="18"/>
          <w:color w:val="auto"/>
        </w:rPr>
      </w:pPr>
    </w:p>
    <w:p>
      <w:pPr>
        <w:ind w:firstLine="8"/>
        <w:spacing w:after="0" w:line="256"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(or other designated agent),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set forth on the first page of this Warrant and shall be identical to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firstLine="8"/>
        <w:spacing w:after="0" w:line="253" w:lineRule="auto"/>
        <w:tabs>
          <w:tab w:leader="none" w:pos="2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initially serve as warrant agent under this Warrant. The Company shall register ownership of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assigned hereunder) from time to time.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The Company may deem and treat the registered Holder of this Warrant as the absolute owner hereof for the purpose of any exercise hereof or any distribution to the Holder, and for all other purposes, absent actual notice to the contrary.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8"/>
        <w:spacing w:after="0" w:line="282" w:lineRule="auto"/>
        <w:tabs>
          <w:tab w:leader="none" w:pos="2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w:t>
      </w:r>
    </w:p>
    <w:p>
      <w:pPr>
        <w:spacing w:after="0" w:line="161" w:lineRule="exact"/>
        <w:rPr>
          <w:rFonts w:ascii="Times New Roman" w:cs="Times New Roman" w:eastAsia="Times New Roman" w:hAnsi="Times New Roman"/>
          <w:sz w:val="18"/>
          <w:szCs w:val="18"/>
          <w:color w:val="auto"/>
        </w:rPr>
      </w:pPr>
    </w:p>
    <w:p>
      <w:pPr>
        <w:ind w:right="60" w:firstLine="8"/>
        <w:spacing w:after="0" w:line="258"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them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80" w:firstLine="8"/>
        <w:spacing w:after="0" w:line="282" w:lineRule="auto"/>
        <w:tabs>
          <w:tab w:leader="none" w:pos="2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ind w:firstLine="8"/>
        <w:spacing w:after="0" w:line="252"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limitations on exercise contained herein).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issuance thereof (other than taxes in respect of any transfer occurring contemporaneously with such issuance). Except and to the extent as waived or consented to by the Holder, the Company shall not by any action, including, without limitation, amending its certificate of incorporation or through any reorganization, transfer of assets, consolidation, merger, dissolution, issuance or sale of securities or any other voluntary action, in each case to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1" w:lineRule="exact"/>
        <w:rPr>
          <w:rFonts w:ascii="Times New Roman" w:cs="Times New Roman" w:eastAsia="Times New Roman" w:hAnsi="Times New Roman"/>
          <w:sz w:val="18"/>
          <w:szCs w:val="18"/>
          <w:color w:val="auto"/>
        </w:rPr>
      </w:pPr>
    </w:p>
    <w:p>
      <w:pPr>
        <w:ind w:right="280" w:firstLine="8"/>
        <w:spacing w:after="0" w:line="282" w:lineRule="auto"/>
        <w:tabs>
          <w:tab w:leader="none" w:pos="2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New York without giving effect to the conflicts of law principles thereof.</w:t>
      </w:r>
    </w:p>
    <w:p>
      <w:pPr>
        <w:spacing w:after="0" w:line="161" w:lineRule="exact"/>
        <w:rPr>
          <w:rFonts w:ascii="Times New Roman" w:cs="Times New Roman" w:eastAsia="Times New Roman" w:hAnsi="Times New Roman"/>
          <w:sz w:val="18"/>
          <w:szCs w:val="18"/>
          <w:color w:val="auto"/>
        </w:rPr>
      </w:pPr>
    </w:p>
    <w:p>
      <w:pPr>
        <w:ind w:right="40" w:firstLine="8"/>
        <w:spacing w:after="0" w:line="256" w:lineRule="auto"/>
        <w:tabs>
          <w:tab w:leader="none" w:pos="2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Notice Procedures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email at or prior to 5:30 p.m. (New York City time) on a Trading Day, (b) the next Trading Day after the date of transmission, if such notice or communication is delivered via email on a day that is not a Trading Day or later than 5:30 p.m. (New York City time) on any Trading Day, (c) the second (2nd) Trading Day following the date of mailing, if sent by U.S. nationally recognized overnight courier service or by International Federal Express, (d) the third (3rd) Trading Day following the date of mailing if sent by first-class registered or certified mail domestic, or (e) upon actual receipt by the party to whom such notice is required to be given. The addresses for such communications shall be: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Sangamo Therapeutics,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501 Canal Blvd.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Richmond, California 94804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Scott Willoughby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Embarcadero Center, 20th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Chadwick L. Mills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Holder:</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To the address or email address set forth in the Warrant Register, or as otherwise provided by the Holder to the Company in accordance with this Section 5(g)(i).</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or number of Warrant Shares is adjusted pursuant to any provision of Section 3, the Company shall promptly provide the Holder a notice setting forth the Exercise Price and number of Warrant Shares after such adjustment and setting forth a brief statement of the facts requiring such adjustment.</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Notice to Allow Exercise by the Holder</w:t>
      </w:r>
      <w:r>
        <w:rPr>
          <w:rFonts w:ascii="Times New Roman" w:cs="Times New Roman" w:eastAsia="Times New Roman" w:hAnsi="Times New Roman"/>
          <w:sz w:val="18"/>
          <w:szCs w:val="18"/>
          <w:color w:val="auto"/>
        </w:rPr>
        <w:t xml:space="preserve">. After the Issue Date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(which, for the avoidance of doubt, shall not include a license or other agreement granting rights to intellectual property),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at least ten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mail such notice or any defect therein or in the mailing thereof shall not affect the validity of the corporate action required to be specified in such notice. To the extent that any notice provided hereunder constitutes, or contains, material, non-public information regarding the Company or any of its subsidiaries, the Company shall promptly file such notice with the SEC pursuant to a Current Report on Form 8-K.</w:t>
      </w:r>
    </w:p>
    <w:p>
      <w:pPr>
        <w:spacing w:after="0" w:line="193" w:lineRule="exact"/>
        <w:rPr>
          <w:sz w:val="20"/>
          <w:szCs w:val="20"/>
          <w:color w:val="auto"/>
        </w:rPr>
      </w:pPr>
    </w:p>
    <w:p>
      <w:pPr>
        <w:ind w:right="20" w:firstLine="8"/>
        <w:spacing w:after="0" w:line="266" w:lineRule="auto"/>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ind w:right="40" w:firstLine="8"/>
        <w:spacing w:after="0" w:line="256" w:lineRule="auto"/>
        <w:tabs>
          <w:tab w:leader="none" w:pos="2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Notwithstanding the foregoing or anything else herein to the contrary, if the Company is for any reason unable to issue and deliver Warrant Shares upon exercise of this Warrant as required pursuant to the terms hereof, the Company shall have no obligation to pay to the Holder any cash or other consideration or otherwise “net cash settle” this Warrant.</w:t>
      </w:r>
    </w:p>
    <w:p>
      <w:pPr>
        <w:spacing w:after="0" w:line="187" w:lineRule="exact"/>
        <w:rPr>
          <w:rFonts w:ascii="Times New Roman" w:cs="Times New Roman" w:eastAsia="Times New Roman" w:hAnsi="Times New Roman"/>
          <w:sz w:val="18"/>
          <w:szCs w:val="18"/>
          <w:color w:val="auto"/>
        </w:rPr>
      </w:pPr>
    </w:p>
    <w:p>
      <w:pPr>
        <w:ind w:right="140" w:firstLine="8"/>
        <w:spacing w:after="0" w:line="261" w:lineRule="auto"/>
        <w:tabs>
          <w:tab w:leader="none" w:pos="2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225" w:lineRule="exact"/>
        <w:rPr>
          <w:rFonts w:ascii="Times New Roman" w:cs="Times New Roman" w:eastAsia="Times New Roman" w:hAnsi="Times New Roman"/>
          <w:sz w:val="18"/>
          <w:szCs w:val="18"/>
          <w:color w:val="auto"/>
        </w:rPr>
      </w:pPr>
    </w:p>
    <w:p>
      <w:pPr>
        <w:ind w:right="40" w:firstLine="8"/>
        <w:spacing w:after="0" w:line="266" w:lineRule="auto"/>
        <w:tabs>
          <w:tab w:leader="none" w:pos="2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Holder agrees to keep confidential any proprietary information relating to the Company delivered by the Company hereunder;</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nothing herein shall prevent the Holder from disclosing such information: (i) to any holder of Warrants or Warrant Shares, (ii) to any Affiliate of any holder of Warrants or Warrant Shares or any actual or potential transferee of the rights or obligations hereunder that agrees to be bound by this Section 5(m), (iii) upon order, subpoena, or other process of any court or administrative agency or otherwise required by law, (iv) upon the request or demand of any regulatory agency or authority having jurisdiction over such party, (v) which has been publicly disclosed without breach of any obligation to the Company, (vi) which has been obtained from any Person that is not a party hereto or an Affiliate of any such party without any breach of any obligation to the Company, (vii) in connection with the exercise of any remedy, or the resolution of any dispute hereunder, (viii) to the legal counsel or certified public accountants for any holder of Warrants or Warrant Shares, or (ix) as otherwise expressly contemplated by this Warrant. Notwithstanding the foregoing, the Company shall not provide material, non-public information or confidential or proprietary information to the Holder without such Holder’s written consent. If the Company does provide material, non-public information or confidential or proprietary information to the Holder without such Holder’s written consent, the Company shall promptly file such information with the SEC pursuant to a Current Report on Form 8-K and the Holder shall not be subject to any duty of confidentiality contained herein with respect to such information.</w:t>
      </w:r>
    </w:p>
    <w:p>
      <w:pPr>
        <w:spacing w:after="0" w:line="192"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email within two (2)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(2) Business Days submit via email (i) the disputed determination of the Exercise Price to an independent, reputable investment bank selected by the Company and approved by the Holder or (ii)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 The expenses of the investment bank and accountant will be borne by the Company unless the investment bank or accountant determines that the determination of the Exercise Price or the arithmetic calculation of the Warrant Shares by the Holder was incorrect, in which case the expenses of the investment bank and accountant will be borne by the Holder.</w:t>
      </w:r>
    </w:p>
    <w:p>
      <w:pPr>
        <w:spacing w:after="0" w:line="18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225" w:lineRule="exact"/>
        <w:rPr>
          <w:rFonts w:ascii="Times New Roman" w:cs="Times New Roman" w:eastAsia="Times New Roman" w:hAnsi="Times New Roman"/>
          <w:sz w:val="18"/>
          <w:szCs w:val="18"/>
          <w:color w:val="auto"/>
        </w:rPr>
      </w:pPr>
    </w:p>
    <w:p>
      <w:pPr>
        <w:ind w:left="4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(Signature Pages Follow)</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 indicated.</w:t>
      </w: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NOTICE OF EXERCISE</w:t>
            </w:r>
          </w:p>
        </w:tc>
        <w:tc>
          <w:tcPr>
            <w:tcW w:w="426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 Sangamo Therapeutics, Inc.</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9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w w:val="99"/>
              </w:rPr>
              <w:t>(1) The undersigned holder of Warrant No. PF-</w:t>
            </w:r>
          </w:p>
        </w:tc>
        <w:tc>
          <w:tcPr>
            <w:tcW w:w="720" w:type="dxa"/>
            <w:vAlign w:val="bottom"/>
            <w:tcBorders>
              <w:bottom w:val="single" w:sz="8" w:color="auto"/>
            </w:tcBorders>
          </w:tcPr>
          <w:p>
            <w:pPr>
              <w:spacing w:after="0"/>
              <w:rPr>
                <w:sz w:val="24"/>
                <w:szCs w:val="24"/>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hereby elects to purchase</w:t>
            </w:r>
          </w:p>
        </w:tc>
        <w:tc>
          <w:tcPr>
            <w:tcW w:w="4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Warrant Shares of the Company pursuant to the terms</w:t>
            </w:r>
          </w:p>
        </w:tc>
      </w:tr>
    </w:tbl>
    <w:p>
      <w:pPr>
        <w:spacing w:after="0" w:line="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of the attached Warrant (only if exercised in full), and tenders herewith payment of the exercise price in full, together with all applicable transfer taxes, if any.</w:t>
      </w:r>
    </w:p>
    <w:p>
      <w:pPr>
        <w:spacing w:after="0" w:line="162" w:lineRule="exact"/>
        <w:rPr>
          <w:sz w:val="20"/>
          <w:szCs w:val="20"/>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1"/>
          <w:numId w:val="7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 lawful money of the United States; or</w:t>
      </w:r>
    </w:p>
    <w:p>
      <w:pPr>
        <w:spacing w:after="0" w:line="225" w:lineRule="exact"/>
        <w:rPr>
          <w:rFonts w:ascii="MS PGothic" w:cs="MS PGothic" w:eastAsia="MS PGothic" w:hAnsi="MS PGothic"/>
          <w:sz w:val="18"/>
          <w:szCs w:val="18"/>
          <w:color w:val="auto"/>
        </w:rPr>
      </w:pPr>
    </w:p>
    <w:p>
      <w:pPr>
        <w:ind w:left="660" w:right="40" w:firstLine="41"/>
        <w:spacing w:after="0" w:line="266" w:lineRule="auto"/>
        <w:tabs>
          <w:tab w:leader="none" w:pos="957" w:val="left"/>
        </w:tabs>
        <w:numPr>
          <w:ilvl w:val="1"/>
          <w:numId w:val="7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the cancellation of such number of Warrant Shares as is necessary, in accordance with the formula set forth in Section 2(d), to exercise this Warrant with respect to the maximum number of Warrant Shares purchasable pursuant to the cashless exercise procedure set forth in Section 2(d).</w:t>
      </w:r>
    </w:p>
    <w:p>
      <w:pPr>
        <w:spacing w:after="0" w:line="175" w:lineRule="exact"/>
        <w:rPr>
          <w:rFonts w:ascii="MS PGothic" w:cs="MS PGothic" w:eastAsia="MS PGothic" w:hAnsi="MS PGothic"/>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-579120</wp:posOffset>
            </wp:positionV>
            <wp:extent cx="6626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by physical delivery of a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857250</wp:posOffset>
            </wp:positionV>
            <wp:extent cx="6626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574675</wp:posOffset>
            </wp:positionV>
            <wp:extent cx="6626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291465</wp:posOffset>
            </wp:positionV>
            <wp:extent cx="6626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14605</wp:posOffset>
            </wp:positionV>
            <wp:extent cx="49206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20615"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17145</wp:posOffset>
            </wp:positionV>
            <wp:extent cx="542607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17145</wp:posOffset>
            </wp:positionV>
            <wp:extent cx="55549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17145</wp:posOffset>
            </wp:positionV>
            <wp:extent cx="67462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tabs>
          <w:tab w:leader="none" w:pos="2460" w:val="left"/>
          <w:tab w:leader="none" w:pos="3740" w:val="left"/>
        </w:tabs>
        <w:rPr>
          <w:sz w:val="20"/>
          <w:szCs w:val="20"/>
          <w:color w:val="auto"/>
        </w:rPr>
      </w:pPr>
      <w:r>
        <w:rPr>
          <w:rFonts w:ascii="Times New Roman" w:cs="Times New Roman" w:eastAsia="Times New Roman" w:hAnsi="Times New Roman"/>
          <w:sz w:val="18"/>
          <w:szCs w:val="18"/>
          <w:color w:val="auto"/>
        </w:rPr>
        <w:t>FOR VALUE RECEIVED, [</w:t>
      </w:r>
      <w:r>
        <w:rPr>
          <w:sz w:val="20"/>
          <w:szCs w:val="20"/>
          <w:color w:val="auto"/>
        </w:rPr>
        <w:tab/>
      </w:r>
      <w:r>
        <w:rPr>
          <w:rFonts w:ascii="Times New Roman" w:cs="Times New Roman" w:eastAsia="Times New Roman" w:hAnsi="Times New Roman"/>
          <w:sz w:val="18"/>
          <w:szCs w:val="18"/>
          <w:color w:val="auto"/>
        </w:rPr>
        <w:t>] all of or [</w:t>
      </w:r>
      <w:r>
        <w:rPr>
          <w:sz w:val="20"/>
          <w:szCs w:val="20"/>
          <w:color w:val="auto"/>
        </w:rPr>
        <w:tab/>
      </w:r>
      <w:r>
        <w:rPr>
          <w:rFonts w:ascii="Times New Roman" w:cs="Times New Roman" w:eastAsia="Times New Roman" w:hAnsi="Times New Roman"/>
          <w:sz w:val="17"/>
          <w:szCs w:val="17"/>
          <w:color w:val="auto"/>
        </w:rPr>
        <w:t>] shares of the foregoing Warrant and all rights evidenced thereby are hereby assigned to</w:t>
      </w:r>
    </w:p>
    <w:p>
      <w:pPr>
        <w:spacing w:after="0" w:line="23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498919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891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498919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891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49891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20142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14220" cy="17145"/>
                    </a:xfrm>
                    <a:prstGeom prst="rect">
                      <a:avLst/>
                    </a:prstGeom>
                    <a:noFill/>
                  </pic:spPr>
                </pic:pic>
              </a:graphicData>
            </a:graphic>
          </wp:anchor>
        </w:drawing>
      </w:r>
    </w:p>
    <w:p>
      <w:pPr>
        <w:spacing w:after="0" w:line="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177165</wp:posOffset>
            </wp:positionV>
            <wp:extent cx="20142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14220" cy="1714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22860</wp:posOffset>
            </wp:positionV>
            <wp:extent cx="20142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1422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May [ ], 2025 (such date, the “</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COMMON STOCK PURCHASE WARRANT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certifies that, for value received, or its permitted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upon the terms and subject to the limitations on exercise and the conditions set forth herein, at any time on or after the Issue Date and until 5:00 p.m., New York time, on the Expiration Date (but not thereafter), to subscribe for and purchase from Sangamo Therapeutics, Inc.,</w:t>
      </w:r>
    </w:p>
    <w:p>
      <w:pPr>
        <w:spacing w:after="0"/>
        <w:tabs>
          <w:tab w:leader="none" w:pos="3920" w:val="left"/>
        </w:tabs>
        <w:rPr>
          <w:sz w:val="20"/>
          <w:szCs w:val="20"/>
          <w:color w:val="auto"/>
        </w:rPr>
      </w:pP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up to</w:t>
      </w:r>
      <w:r>
        <w:rPr>
          <w:sz w:val="20"/>
          <w:szCs w:val="20"/>
          <w:color w:val="auto"/>
        </w:rPr>
        <w:tab/>
      </w:r>
      <w:r>
        <w:rPr>
          <w:rFonts w:ascii="Times New Roman" w:cs="Times New Roman" w:eastAsia="Times New Roman" w:hAnsi="Times New Roman"/>
          <w:sz w:val="17"/>
          <w:szCs w:val="17"/>
          <w:color w:val="auto"/>
        </w:rPr>
        <w:t>shares (the “</w:t>
      </w:r>
      <w:r>
        <w:rPr>
          <w:rFonts w:ascii="Times New Roman" w:cs="Times New Roman" w:eastAsia="Times New Roman" w:hAnsi="Times New Roman"/>
          <w:sz w:val="17"/>
          <w:szCs w:val="17"/>
          <w:b w:val="1"/>
          <w:bCs w:val="1"/>
          <w:i w:val="1"/>
          <w:iCs w:val="1"/>
          <w:color w:val="auto"/>
        </w:rPr>
        <w:t>Warrant Shares</w:t>
      </w:r>
      <w:r>
        <w:rPr>
          <w:rFonts w:ascii="Times New Roman" w:cs="Times New Roman" w:eastAsia="Times New Roman" w:hAnsi="Times New Roman"/>
          <w:sz w:val="17"/>
          <w:szCs w:val="17"/>
          <w:color w:val="auto"/>
        </w:rPr>
        <w:t>”) of the Company’s common stock, par value $0.01 per share</w:t>
      </w:r>
    </w:p>
    <w:p>
      <w:pPr>
        <w:spacing w:after="0" w:line="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The purchase price of one share of Common Stock under this Warrant shall be equal to the Exercise Price, as defined in Section 2(b). This Warrant is one of the Common Stock Purchase Warrants issued in connection with the transactions contemplated by (i) that certain Underwriting Agreement, dated as of May 12, 2025, by and between the Company and Cantor Fitzgerald &amp; Co., as the representative of the several underwriters named therein, (ii) the Company’s Registration Statement on Form S-3 (File No. 333-283179) (the “Registration Statement”) and (iii) the Company’s prospectus supplement dated May 12, 2025 (the “Prospectus Supplement”) to the base prospectus contained in the Registration Statement dated November 19, 2024.</w:t>
      </w:r>
    </w:p>
    <w:p>
      <w:pPr>
        <w:spacing w:after="0" w:line="17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Warrant, the following terms shall have the following meanings:</w:t>
      </w:r>
    </w:p>
    <w:p>
      <w:pPr>
        <w:spacing w:after="0" w:line="225" w:lineRule="exact"/>
        <w:rPr>
          <w:sz w:val="20"/>
          <w:szCs w:val="20"/>
          <w:color w:val="auto"/>
        </w:rPr>
      </w:pPr>
    </w:p>
    <w:p>
      <w:pPr>
        <w:ind w:left="660" w:right="200" w:firstLine="644"/>
        <w:spacing w:after="0" w:line="268" w:lineRule="auto"/>
        <w:tabs>
          <w:tab w:leader="none" w:pos="19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cs="Times New Roman" w:eastAsia="Times New Roman" w:hAnsi="Times New Roman"/>
          <w:sz w:val="18"/>
          <w:szCs w:val="18"/>
          <w:b w:val="1"/>
          <w:bCs w:val="1"/>
          <w:i w:val="1"/>
          <w:iCs w:val="1"/>
          <w:color w:val="auto"/>
        </w:rPr>
        <w:t>1933 Act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60" w:right="60" w:firstLine="644"/>
        <w:spacing w:after="0" w:line="256" w:lineRule="auto"/>
        <w:tabs>
          <w:tab w:leader="none" w:pos="19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Common Stock would or could be aggregated with the Holder’s and the other Attribution Parties for purposes of Section 13(d) or Section 16 of the Securities Exchange Act of 1934, as amended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For clarity, the purpose of the foregoing is to subject collectively the Holder and all other Attribution Parties to the Maximum Percentage (as defined in Section 2(e)).</w:t>
      </w:r>
    </w:p>
    <w:p>
      <w:pPr>
        <w:spacing w:after="0" w:line="18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Markets.</w:t>
      </w:r>
    </w:p>
    <w:p>
      <w:pPr>
        <w:spacing w:after="0" w:line="225" w:lineRule="exact"/>
        <w:rPr>
          <w:rFonts w:ascii="Times New Roman" w:cs="Times New Roman" w:eastAsia="Times New Roman" w:hAnsi="Times New Roman"/>
          <w:sz w:val="18"/>
          <w:szCs w:val="18"/>
          <w:color w:val="auto"/>
        </w:rPr>
      </w:pPr>
    </w:p>
    <w:p>
      <w:pPr>
        <w:ind w:left="660" w:right="140" w:firstLine="644"/>
        <w:spacing w:after="0" w:line="286" w:lineRule="auto"/>
        <w:tabs>
          <w:tab w:leader="none" w:pos="19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any Saturday, any Sunday, any day that is a federal legal holiday in the United States or any day on which the New York Stock Exchange is authorized or required by law or other governmental action to close.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9" w:name="page60"/>
    <w:bookmarkEnd w:id="59"/>
    <w:p>
      <w:pPr>
        <w:ind w:left="-460" w:right="120" w:firstLine="644"/>
        <w:spacing w:after="0" w:line="257" w:lineRule="auto"/>
        <w:tabs>
          <w:tab w:leader="none" w:pos="8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(ii) pursuant to a migratory merger effected solely for the purpose of changing the jurisdiction of incorporation of the Company.</w:t>
      </w:r>
    </w:p>
    <w:p>
      <w:pPr>
        <w:spacing w:after="0" w:line="182" w:lineRule="exact"/>
        <w:rPr>
          <w:rFonts w:ascii="Times New Roman" w:cs="Times New Roman" w:eastAsia="Times New Roman" w:hAnsi="Times New Roman"/>
          <w:sz w:val="18"/>
          <w:szCs w:val="18"/>
          <w:color w:val="auto"/>
        </w:rPr>
      </w:pPr>
    </w:p>
    <w:p>
      <w:pPr>
        <w:ind w:left="-460" w:right="20" w:firstLine="644"/>
        <w:spacing w:after="0" w:line="268" w:lineRule="auto"/>
        <w:tabs>
          <w:tab w:leader="none" w:pos="8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0"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means May [ ], 2031.</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ind w:left="-460" w:right="1080" w:firstLine="644"/>
        <w:spacing w:after="0" w:line="286" w:lineRule="auto"/>
        <w:tabs>
          <w:tab w:leader="none" w:pos="80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4"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Common Stock is traded on the Trading Market.</w:t>
      </w:r>
    </w:p>
    <w:p>
      <w:pPr>
        <w:spacing w:after="0" w:line="225" w:lineRule="exact"/>
        <w:rPr>
          <w:rFonts w:ascii="Times New Roman" w:cs="Times New Roman" w:eastAsia="Times New Roman" w:hAnsi="Times New Roman"/>
          <w:sz w:val="18"/>
          <w:szCs w:val="18"/>
          <w:color w:val="auto"/>
        </w:rPr>
      </w:pPr>
    </w:p>
    <w:p>
      <w:pPr>
        <w:ind w:left="-460" w:right="40" w:firstLine="644"/>
        <w:spacing w:after="0" w:line="286" w:lineRule="auto"/>
        <w:tabs>
          <w:tab w:leader="none" w:pos="80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principal securities exchange or securities market, including an over-the-counter market, on which the Common Stock is then traded in the United States.</w:t>
      </w:r>
    </w:p>
    <w:p>
      <w:pPr>
        <w:spacing w:after="0" w:line="154" w:lineRule="exact"/>
        <w:rPr>
          <w:rFonts w:ascii="Times New Roman" w:cs="Times New Roman" w:eastAsia="Times New Roman" w:hAnsi="Times New Roman"/>
          <w:sz w:val="18"/>
          <w:szCs w:val="18"/>
          <w:color w:val="auto"/>
        </w:rPr>
      </w:pPr>
    </w:p>
    <w:p>
      <w:pPr>
        <w:ind w:left="-460" w:right="40" w:firstLine="644"/>
        <w:spacing w:after="0" w:line="269" w:lineRule="auto"/>
        <w:tabs>
          <w:tab w:leader="none" w:pos="89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Weighted Average Price</w:t>
      </w:r>
      <w:r>
        <w:rPr>
          <w:rFonts w:ascii="Times New Roman" w:cs="Times New Roman" w:eastAsia="Times New Roman" w:hAnsi="Times New Roman"/>
          <w:sz w:val="17"/>
          <w:szCs w:val="17"/>
          <w:color w:val="auto"/>
        </w:rPr>
        <w:t>” means, for any security as of any date, the dollar volume-weighted average price for such security on the Trading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published by OTC Markets Group, Inc. (or a similar organization or agency succeeding to its functions of reporting prices). If the Weighted Average Price cannot be calculated for such security on such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5(n) with the term “Weighted Average Price” being substituted for the term “Exercise Price.” All such determinations shall be appropriately adjusted for any stock dividend, stock split, stock combination or other similar transaction during such period.</w:t>
      </w:r>
    </w:p>
    <w:p>
      <w:pPr>
        <w:spacing w:after="0" w:line="3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7" w:right="379" w:bottom="1440" w:gutter="0" w:footer="0" w:header="0"/>
        </w:sectPr>
      </w:pPr>
    </w:p>
    <w:bookmarkStart w:id="60" w:name="page61"/>
    <w:bookmarkEnd w:id="60"/>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40" w:firstLine="644"/>
        <w:spacing w:after="0" w:line="252" w:lineRule="auto"/>
        <w:tabs>
          <w:tab w:leader="none" w:pos="12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Subject to the terms and conditions hereof, the purchase rights represented by this Warrant may be exercised, in whole or in part, at any time or times on or after November [ ], 2025 and on or before the Expiration Date by delivery (whether via facsimile or otherwise) to the Company (or such other office or agency of the Company as it may designate by notice in writing to the registered Holder at the address of the Holder appearing on the books of the Company) of a duly executed copy of the Notice of Exercise form annexed hereto (the “</w:t>
      </w:r>
      <w:r>
        <w:rPr>
          <w:rFonts w:ascii="Times New Roman" w:cs="Times New Roman" w:eastAsia="Times New Roman" w:hAnsi="Times New Roman"/>
          <w:sz w:val="18"/>
          <w:szCs w:val="18"/>
          <w:b w:val="1"/>
          <w:bCs w:val="1"/>
          <w:i w:val="1"/>
          <w:iCs w:val="1"/>
          <w:color w:val="auto"/>
        </w:rPr>
        <w:t>Notice of Exercise</w:t>
      </w:r>
      <w:r>
        <w:rPr>
          <w:rFonts w:ascii="Times New Roman" w:cs="Times New Roman" w:eastAsia="Times New Roman" w:hAnsi="Times New Roman"/>
          <w:sz w:val="18"/>
          <w:szCs w:val="18"/>
          <w:color w:val="auto"/>
        </w:rPr>
        <w:t xml:space="preserve">”) and by payment to the Company of an amount equal to the aggregate Exercise Price of the Warrant Shares thereby purchased by wire transfer (or, if the provisions of Section 2(d) are applicable, by notifying the Company that this Warrant is being exercised pursuant to a Cashless Exercise (as defined below)). So long as this Warrant is held in book-entry form and the DTC is the sole registered holder of this Warrant, no ink-original Notice of Exercise shall be required, nor shall any medallion guarantee (or other type of guarantee or notarization) of any Notice of Exercise form be required.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Trading Days after the date the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 agree that,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For the avoidance of doubt,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does not exercise this Warrant prior to the expiration date, this Warrant shall expire unexercised, and the Company shall have no obligation to settle the Warrant in cash, shares of Common Stock or otherwise.</w:t>
      </w:r>
    </w:p>
    <w:p>
      <w:pPr>
        <w:spacing w:after="0" w:line="190" w:lineRule="exact"/>
        <w:rPr>
          <w:rFonts w:ascii="Times New Roman" w:cs="Times New Roman" w:eastAsia="Times New Roman" w:hAnsi="Times New Roman"/>
          <w:sz w:val="18"/>
          <w:szCs w:val="18"/>
          <w:color w:val="auto"/>
        </w:rPr>
      </w:pPr>
    </w:p>
    <w:p>
      <w:pPr>
        <w:ind w:right="480" w:firstLine="644"/>
        <w:spacing w:after="0" w:line="282" w:lineRule="auto"/>
        <w:tabs>
          <w:tab w:leader="none" w:pos="130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$0.75, subject to adjustment as provided herein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firstLine="652"/>
        <w:spacing w:after="0" w:line="269" w:lineRule="auto"/>
        <w:tabs>
          <w:tab w:leader="none" w:pos="1908"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Certificates for shares purchased hereunder shall be transmitted by the Company to the Holder by crediting the account of the Holder’s prime broker with The Depository Trust Company (“DTC”) through its Deposit/Withdrawal at Custodian (“</w:t>
      </w:r>
      <w:r>
        <w:rPr>
          <w:rFonts w:ascii="Times New Roman" w:cs="Times New Roman" w:eastAsia="Times New Roman" w:hAnsi="Times New Roman"/>
          <w:sz w:val="17"/>
          <w:szCs w:val="17"/>
          <w:b w:val="1"/>
          <w:bCs w:val="1"/>
          <w:i w:val="1"/>
          <w:iCs w:val="1"/>
          <w:color w:val="auto"/>
        </w:rPr>
        <w:t>DWAC”</w:t>
      </w:r>
      <w:r>
        <w:rPr>
          <w:rFonts w:ascii="Times New Roman" w:cs="Times New Roman" w:eastAsia="Times New Roman" w:hAnsi="Times New Roman"/>
          <w:sz w:val="17"/>
          <w:szCs w:val="17"/>
          <w:color w:val="auto"/>
        </w:rPr>
        <w:t>) system if the Company is then a participant in such system by the date that is two Trading Days after the receipt by the Company of the Notice of Exercise and otherwise by physical delivery to the address specified by the Holder in the Notice of Exercise as soon as commercially practicable (in each case, provided that payment of the Exercise Price (or notification of Cashless Exercise, if applicable) has then been received by the Company) (such date, the “</w:t>
      </w:r>
      <w:r>
        <w:rPr>
          <w:rFonts w:ascii="Times New Roman" w:cs="Times New Roman" w:eastAsia="Times New Roman" w:hAnsi="Times New Roman"/>
          <w:sz w:val="17"/>
          <w:szCs w:val="17"/>
          <w:b w:val="1"/>
          <w:bCs w:val="1"/>
          <w:i w:val="1"/>
          <w:iCs w:val="1"/>
          <w:color w:val="auto"/>
        </w:rPr>
        <w:t>Warrant Share Delivery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This Warrant shall be deemed to have been exercised upon proper delivery of the Notice of Exercise and payment of the Exercise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Price (or notification of Cashless Exercise, if the provisions of Section 2(d) are applicable). The Warrant Shares shall be deemed to have been issued, and the Holder or any other person so designated to be named therein shall be deemed to have become a holder of record of such shares for all purposes, as of the date the Warrant has been exercised. The Company shall use commercially reasonable efforts to maintain a transfer agent that is a participant in the FAST program so long as this Warrant remains outstanding and exercisable.</w:t>
      </w:r>
    </w:p>
    <w:p>
      <w:pPr>
        <w:spacing w:after="0" w:line="3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17" w:right="379" w:bottom="1440" w:gutter="0" w:footer="0" w:header="0"/>
        </w:sectPr>
      </w:pPr>
    </w:p>
    <w:bookmarkStart w:id="61" w:name="page62"/>
    <w:bookmarkEnd w:id="61"/>
    <w:p>
      <w:pPr>
        <w:ind w:left="180" w:right="260" w:firstLine="652"/>
        <w:spacing w:after="0" w:line="261" w:lineRule="auto"/>
        <w:tabs>
          <w:tab w:leader="none" w:pos="145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80" w:firstLine="652"/>
        <w:spacing w:after="0" w:line="268" w:lineRule="auto"/>
        <w:tabs>
          <w:tab w:leader="none" w:pos="1458"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2(c)(i) above pursuant to an exercise on or before the Warrant Share Delivery Date (other than a failure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b w:val="1"/>
          <w:bCs w:val="1"/>
          <w:i w:val="1"/>
          <w:iCs w:val="1"/>
          <w:color w:val="auto"/>
        </w:rPr>
        <w:t>Buy-In</w:t>
      </w:r>
      <w:r>
        <w:rPr>
          <w:rFonts w:ascii="Times New Roman" w:cs="Times New Roman" w:eastAsia="Times New Roman" w:hAnsi="Times New Roman"/>
          <w:sz w:val="17"/>
          <w:szCs w:val="17"/>
          <w:color w:val="auto"/>
        </w:rPr>
        <w:t>”), then the Company shall either (A) pay in cash to the Holder the amount, if any, by which (x) the Holder’s total purchase price (including brokerage commissions, if any) for the shares of Common Stock so purchased exceeds (y) the amount obtained by multiplying</w:t>
      </w:r>
    </w:p>
    <w:p>
      <w:pPr>
        <w:ind w:left="440" w:hanging="256"/>
        <w:spacing w:after="0"/>
        <w:tabs>
          <w:tab w:leader="none" w:pos="4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that the Company was required to deliver to the Holder in connection with the exercise at issue times</w:t>
      </w:r>
    </w:p>
    <w:p>
      <w:pPr>
        <w:spacing w:after="0" w:line="9" w:lineRule="exact"/>
        <w:rPr>
          <w:rFonts w:ascii="Times New Roman" w:cs="Times New Roman" w:eastAsia="Times New Roman" w:hAnsi="Times New Roman"/>
          <w:sz w:val="18"/>
          <w:szCs w:val="18"/>
          <w:color w:val="auto"/>
        </w:rPr>
      </w:pPr>
    </w:p>
    <w:p>
      <w:pPr>
        <w:ind w:left="180" w:right="40" w:firstLine="4"/>
        <w:spacing w:after="0" w:line="251" w:lineRule="auto"/>
        <w:tabs>
          <w:tab w:leader="none" w:pos="4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sell order giving rise to such purchase obligation was executed, or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with an aggregate sale price giving rise to such purchase obligation of $10,000, under clause (A) of the immediately preceding sentence the Company shall be required to pay the Holder $1,000. In connection with the foregoing, the Holder shall (i) use its reasonable efforts to notify the Company in advance of any pending exercise of this Warrant in order to enable to the Company to deliver the Warrant Shares by the Warrant Share Delivery Date and (ii) provide the Company written notice within three Business Days after the occurrence of a Buy-In, indicating the amounts payable to the Holder in respect of the Buy-In and, upon request of the Company, evidence of the amount of such loss. Subject to Section 5(i),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191" w:lineRule="exact"/>
        <w:rPr>
          <w:rFonts w:ascii="Times New Roman" w:cs="Times New Roman" w:eastAsia="Times New Roman" w:hAnsi="Times New Roman"/>
          <w:sz w:val="18"/>
          <w:szCs w:val="18"/>
          <w:color w:val="auto"/>
        </w:rPr>
      </w:pPr>
    </w:p>
    <w:p>
      <w:pPr>
        <w:ind w:left="180" w:firstLine="652"/>
        <w:spacing w:after="0" w:line="261" w:lineRule="auto"/>
        <w:tabs>
          <w:tab w:leader="none" w:pos="144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or down) to the nearest whole share.</w:t>
      </w:r>
    </w:p>
    <w:p>
      <w:pPr>
        <w:spacing w:after="0" w:line="3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62" w:name="page63"/>
    <w:bookmarkEnd w:id="62"/>
    <w:p>
      <w:pPr>
        <w:ind w:left="640" w:firstLine="652"/>
        <w:spacing w:after="0" w:line="255" w:lineRule="auto"/>
        <w:tabs>
          <w:tab w:leader="none" w:pos="194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certificates for Warrant Shares are to be issued in a name other than the name of the Holder, this Warrant when surrendered for exercise shall be accompanied by the Assignment Form attached hereto duly executed by the Holder (along with a medallion signature guarantee if requested by the and the Company may require, as a condition thereto, the payment of a sum sufficient to reimburse it for any transfer tax incidental thereto.</w:t>
      </w:r>
    </w:p>
    <w:p>
      <w:pPr>
        <w:spacing w:after="0" w:line="188" w:lineRule="exact"/>
        <w:rPr>
          <w:rFonts w:ascii="Times New Roman" w:cs="Times New Roman" w:eastAsia="Times New Roman" w:hAnsi="Times New Roman"/>
          <w:sz w:val="18"/>
          <w:szCs w:val="18"/>
          <w:color w:val="auto"/>
        </w:rPr>
      </w:pPr>
    </w:p>
    <w:p>
      <w:pPr>
        <w:ind w:left="640" w:right="440" w:firstLine="652"/>
        <w:spacing w:after="0" w:line="282" w:lineRule="auto"/>
        <w:tabs>
          <w:tab w:leader="none" w:pos="190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right="60" w:firstLine="644"/>
        <w:spacing w:after="0" w:line="256" w:lineRule="auto"/>
        <w:tabs>
          <w:tab w:leader="none" w:pos="13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if at the time of exercise hereof a registration statement registering the issuance of the Warrant Shares under the 1933 Act is not effective or available for the issuance of all of the Warrant Shares to the Holder (a “</w:t>
      </w: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color w:val="auto"/>
        </w:rPr>
        <w:t>”), then the Holder may only exercise this Warrant, whether in whole or in part, and in lieu of making the cash payment otherwise contemplated to be made to the Company upon such exercise in payment of the Exercise Price, by effecting a cashless exercise of this Warrant pursuant to which the Holder shall receive upon such cashless exercise the “Net Number” of Warrant Shares determined according to the following formula (a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420"/>
        <w:spacing w:after="0"/>
        <w:tabs>
          <w:tab w:leader="none" w:pos="3260" w:val="left"/>
        </w:tabs>
        <w:rPr>
          <w:sz w:val="20"/>
          <w:szCs w:val="20"/>
          <w:color w:val="auto"/>
        </w:rPr>
      </w:pPr>
      <w:r>
        <w:rPr>
          <w:rFonts w:ascii="Times New Roman" w:cs="Times New Roman" w:eastAsia="Times New Roman" w:hAnsi="Times New Roman"/>
          <w:sz w:val="18"/>
          <w:szCs w:val="18"/>
          <w:color w:val="auto"/>
        </w:rPr>
        <w:t>Net Number =</w:t>
      </w:r>
      <w:r>
        <w:rPr>
          <w:sz w:val="20"/>
          <w:szCs w:val="20"/>
          <w:color w:val="auto"/>
        </w:rPr>
        <w:tab/>
      </w:r>
      <w:r>
        <w:rPr>
          <w:rFonts w:ascii="Times New Roman" w:cs="Times New Roman" w:eastAsia="Times New Roman" w:hAnsi="Times New Roman"/>
          <w:sz w:val="18"/>
          <w:szCs w:val="18"/>
          <w:color w:val="auto"/>
        </w:rPr>
        <w:t>(A x B) - (A 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17145</wp:posOffset>
            </wp:positionV>
            <wp:extent cx="9258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25830" cy="17145"/>
                    </a:xfrm>
                    <a:prstGeom prst="rect">
                      <a:avLst/>
                    </a:prstGeom>
                    <a:noFill/>
                  </pic:spPr>
                </pic:pic>
              </a:graphicData>
            </a:graphic>
          </wp:anchor>
        </w:drawing>
      </w:r>
    </w:p>
    <w:p>
      <w:pPr>
        <w:spacing w:after="0" w:line="1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 total number of shares of Common Stock with respect to which this Warrant is then being exercised.</w:t>
      </w:r>
    </w:p>
    <w:p>
      <w:pPr>
        <w:spacing w:after="0" w:line="225" w:lineRule="exact"/>
        <w:rPr>
          <w:sz w:val="20"/>
          <w:szCs w:val="20"/>
          <w:color w:val="auto"/>
        </w:rPr>
      </w:pPr>
    </w:p>
    <w:p>
      <w:pPr>
        <w:ind w:left="1940" w:right="160" w:hanging="647"/>
        <w:spacing w:after="0" w:line="282" w:lineRule="auto"/>
        <w:tabs>
          <w:tab w:leader="none" w:pos="192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8"/>
          <w:szCs w:val="18"/>
          <w:color w:val="auto"/>
        </w:rPr>
        <w:t>the Weighted Average Price of the shares of Common Stock on the date immediately preceding the date of the Notice of Exercise.</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C =</w:t>
      </w:r>
      <w:r>
        <w:rPr>
          <w:sz w:val="20"/>
          <w:szCs w:val="20"/>
          <w:color w:val="auto"/>
        </w:rPr>
        <w:tab/>
      </w:r>
      <w:r>
        <w:rPr>
          <w:rFonts w:ascii="Times New Roman" w:cs="Times New Roman" w:eastAsia="Times New Roman" w:hAnsi="Times New Roman"/>
          <w:sz w:val="17"/>
          <w:szCs w:val="17"/>
          <w:color w:val="auto"/>
        </w:rPr>
        <w:t>the Exercise Price then in effect for the applicable Warrant Shares at the time of such exercise.</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this Warrant may only be exercised by the Holder pursuant to a Cashless Exercise if, and only if, at the time of exercise hereof, a Registration Default is then existing, as determined by the Company in good faith. If Warrant Shares are issued in such a Cashless Exercise, the Company acknowledges and agrees that in accordance with Section 3(a)(9) of the 1933 Act, the Warrant Shares shall take on the registered characteristics of the Warrant being exercised, and the holding period of the Warrant being exercised may be tacked on to the holding period of the Warrant Shares. The Company agrees not to take any position contrary to this Section 2(d).</w:t>
      </w:r>
    </w:p>
    <w:p>
      <w:pPr>
        <w:spacing w:after="0" w:line="35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21" w:right="359" w:bottom="1440" w:gutter="0" w:footer="0" w:header="0"/>
        </w:sectPr>
      </w:pPr>
    </w:p>
    <w:bookmarkStart w:id="63" w:name="page64"/>
    <w:bookmarkEnd w:id="63"/>
    <w:p>
      <w:pPr>
        <w:ind w:left="-460" w:firstLine="644"/>
        <w:spacing w:after="0" w:line="251" w:lineRule="auto"/>
        <w:tabs>
          <w:tab w:leader="none" w:pos="83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4.99% (the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1934 Act, it being acknowledged by the Holder that the Company is not representing to the Holder that such calculation is in compliance with Section 13(d) of the 1934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1934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Securities and Exchange Commission, as the case may be, (y) a more recent public announcement by the Company or (z) any other written notice by the Company setting forth the number of shares of Common Stock outstanding (the “</w:t>
      </w:r>
      <w:r>
        <w:rPr>
          <w:rFonts w:ascii="Times New Roman" w:cs="Times New Roman" w:eastAsia="Times New Roman" w:hAnsi="Times New Roman"/>
          <w:sz w:val="18"/>
          <w:szCs w:val="18"/>
          <w:b w:val="1"/>
          <w:bCs w:val="1"/>
          <w:i w:val="1"/>
          <w:iCs w:val="1"/>
          <w:color w:val="auto"/>
        </w:rPr>
        <w:t>Reported Outstanding Share Number</w:t>
      </w:r>
      <w:r>
        <w:rPr>
          <w:rFonts w:ascii="Times New Roman" w:cs="Times New Roman" w:eastAsia="Times New Roman" w:hAnsi="Times New Roman"/>
          <w:sz w:val="18"/>
          <w:szCs w:val="18"/>
          <w:color w:val="auto"/>
        </w:rPr>
        <w:t>”). If the Company receives a Notice of Exercise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2(e),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i w:val="1"/>
          <w:i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request of the Holder, the Company shall within five Business Days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i w:val="1"/>
          <w:iCs w:val="1"/>
          <w:color w:val="auto"/>
        </w:rPr>
        <w:t>Excess Shares</w:t>
      </w:r>
      <w:r>
        <w:rPr>
          <w:rFonts w:ascii="Times New Roman" w:cs="Times New Roman" w:eastAsia="Times New Roman" w:hAnsi="Times New Roman"/>
          <w:sz w:val="18"/>
          <w:szCs w:val="18"/>
          <w:color w:val="auto"/>
        </w:rPr>
        <w:t xml:space="preserve">”) shall be deemed null and void and shall be cancelled ab initio and any portion of this Warrant so exercised shall be reinstated,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5635(b) or any successor rule) as specified in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increase in the Maximum Percentage will not be effective until the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w:t>
      </w:r>
    </w:p>
    <w:p>
      <w:pPr>
        <w:spacing w:after="0" w:line="3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64" w:name="page65"/>
    <w:bookmarkEnd w:id="64"/>
    <w:p>
      <w:pPr>
        <w:ind w:left="4" w:right="60" w:firstLine="644"/>
        <w:spacing w:after="0" w:line="268" w:lineRule="auto"/>
        <w:tabs>
          <w:tab w:leader="none" w:pos="1327"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2(e), at any time or times on or after November [ ], 2025 (x) the Weighted Average Price of the Company’s Common Stock listed on the Trading Market exceeds $2.75 (as adjusted for share splits, share dividends, recapitalizations and similar events) (the “</w:t>
      </w:r>
      <w:r>
        <w:rPr>
          <w:rFonts w:ascii="Times New Roman" w:cs="Times New Roman" w:eastAsia="Times New Roman" w:hAnsi="Times New Roman"/>
          <w:sz w:val="17"/>
          <w:szCs w:val="17"/>
          <w:b w:val="1"/>
          <w:bCs w:val="1"/>
          <w:color w:val="auto"/>
        </w:rPr>
        <w:t>Forced Exercise Minimum Price</w:t>
      </w:r>
      <w:r>
        <w:rPr>
          <w:rFonts w:ascii="Times New Roman" w:cs="Times New Roman" w:eastAsia="Times New Roman" w:hAnsi="Times New Roman"/>
          <w:sz w:val="17"/>
          <w:szCs w:val="17"/>
          <w:color w:val="auto"/>
        </w:rPr>
        <w:t>”) for ten (10) consecutive Trading Days (each, a “</w:t>
      </w:r>
      <w:r>
        <w:rPr>
          <w:rFonts w:ascii="Times New Roman" w:cs="Times New Roman" w:eastAsia="Times New Roman" w:hAnsi="Times New Roman"/>
          <w:sz w:val="17"/>
          <w:szCs w:val="17"/>
          <w:b w:val="1"/>
          <w:bCs w:val="1"/>
          <w:color w:val="auto"/>
        </w:rPr>
        <w:t>Forced Exercise Measuring Period</w:t>
      </w:r>
      <w:r>
        <w:rPr>
          <w:rFonts w:ascii="Times New Roman" w:cs="Times New Roman" w:eastAsia="Times New Roman" w:hAnsi="Times New Roman"/>
          <w:sz w:val="17"/>
          <w:szCs w:val="17"/>
          <w:color w:val="auto"/>
        </w:rPr>
        <w:t>”) and (y) no Equity Conditions Failure (defined below) then exists (collectively, the “</w:t>
      </w:r>
      <w:r>
        <w:rPr>
          <w:rFonts w:ascii="Times New Roman" w:cs="Times New Roman" w:eastAsia="Times New Roman" w:hAnsi="Times New Roman"/>
          <w:sz w:val="17"/>
          <w:szCs w:val="17"/>
          <w:b w:val="1"/>
          <w:bCs w:val="1"/>
          <w:color w:val="auto"/>
        </w:rPr>
        <w:t>Forced Exercise Conditions</w:t>
      </w:r>
      <w:r>
        <w:rPr>
          <w:rFonts w:ascii="Times New Roman" w:cs="Times New Roman" w:eastAsia="Times New Roman" w:hAnsi="Times New Roman"/>
          <w:sz w:val="17"/>
          <w:szCs w:val="17"/>
          <w:color w:val="auto"/>
        </w:rPr>
        <w:t>”), the Company shall have the right to require the Holder to exercise this Warrant pursuant to this Section 2 into up to such aggregate number of fully paid, validly issued and non-assessable Warrant Shares equal to the lesser of (I) the aggregate number of Warrant Shares then permitted to be issued to the Holder in compliance with Section 2(e) above and (II) the number of Warrant Shares then in effect (such lesser number of Warrant Shares, the “</w:t>
      </w:r>
      <w:r>
        <w:rPr>
          <w:rFonts w:ascii="Times New Roman" w:cs="Times New Roman" w:eastAsia="Times New Roman" w:hAnsi="Times New Roman"/>
          <w:sz w:val="17"/>
          <w:szCs w:val="17"/>
          <w:b w:val="1"/>
          <w:bCs w:val="1"/>
          <w:color w:val="auto"/>
        </w:rPr>
        <w:t>Maximum Forced Exercise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 Amount</w:t>
      </w:r>
      <w:r>
        <w:rPr>
          <w:rFonts w:ascii="Times New Roman" w:cs="Times New Roman" w:eastAsia="Times New Roman" w:hAnsi="Times New Roman"/>
          <w:sz w:val="17"/>
          <w:szCs w:val="17"/>
          <w:color w:val="auto"/>
        </w:rPr>
        <w:t>”) as designated in the applicable Forced Exercise Notice (as defined below) to be issued and delivered in accordance with Section</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2(a) hereof (each, a “</w:t>
      </w:r>
      <w:r>
        <w:rPr>
          <w:rFonts w:ascii="Times New Roman" w:cs="Times New Roman" w:eastAsia="Times New Roman" w:hAnsi="Times New Roman"/>
          <w:sz w:val="18"/>
          <w:szCs w:val="18"/>
          <w:b w:val="1"/>
          <w:bCs w:val="1"/>
          <w:color w:val="auto"/>
        </w:rPr>
        <w:t>Forced Exercise</w:t>
      </w:r>
      <w:r>
        <w:rPr>
          <w:rFonts w:ascii="Times New Roman" w:cs="Times New Roman" w:eastAsia="Times New Roman" w:hAnsi="Times New Roman"/>
          <w:sz w:val="18"/>
          <w:szCs w:val="18"/>
          <w:color w:val="auto"/>
        </w:rPr>
        <w:t>”). For the purposes hereof, “</w:t>
      </w:r>
      <w:r>
        <w:rPr>
          <w:rFonts w:ascii="Times New Roman" w:cs="Times New Roman" w:eastAsia="Times New Roman" w:hAnsi="Times New Roman"/>
          <w:sz w:val="18"/>
          <w:szCs w:val="18"/>
          <w:b w:val="1"/>
          <w:bCs w:val="1"/>
          <w:color w:val="auto"/>
        </w:rPr>
        <w:t>Equity Conditions</w:t>
      </w:r>
      <w:r>
        <w:rPr>
          <w:rFonts w:ascii="Times New Roman" w:cs="Times New Roman" w:eastAsia="Times New Roman" w:hAnsi="Times New Roman"/>
          <w:sz w:val="18"/>
          <w:szCs w:val="18"/>
          <w:color w:val="auto"/>
        </w:rPr>
        <w:t>” means, with respect to any given date of determination:</w:t>
      </w:r>
    </w:p>
    <w:p>
      <w:pPr>
        <w:spacing w:after="0" w:line="9" w:lineRule="exact"/>
        <w:rPr>
          <w:rFonts w:ascii="Times New Roman" w:cs="Times New Roman" w:eastAsia="Times New Roman" w:hAnsi="Times New Roman"/>
          <w:sz w:val="17"/>
          <w:szCs w:val="17"/>
          <w:color w:val="auto"/>
        </w:rPr>
      </w:pPr>
    </w:p>
    <w:p>
      <w:pPr>
        <w:ind w:left="4" w:hanging="4"/>
        <w:spacing w:after="0" w:line="250" w:lineRule="auto"/>
        <w:tabs>
          <w:tab w:leader="none" w:pos="2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such applicable date of determination one or more registration statements (each, the “</w:t>
      </w:r>
      <w:r>
        <w:rPr>
          <w:rFonts w:ascii="Times New Roman" w:cs="Times New Roman" w:eastAsia="Times New Roman" w:hAnsi="Times New Roman"/>
          <w:sz w:val="18"/>
          <w:szCs w:val="18"/>
          <w:b w:val="1"/>
          <w:bCs w:val="1"/>
          <w:color w:val="auto"/>
        </w:rPr>
        <w:t>Forced Exercise Registration Statement</w:t>
      </w:r>
      <w:r>
        <w:rPr>
          <w:rFonts w:ascii="Times New Roman" w:cs="Times New Roman" w:eastAsia="Times New Roman" w:hAnsi="Times New Roman"/>
          <w:sz w:val="18"/>
          <w:szCs w:val="18"/>
          <w:color w:val="auto"/>
        </w:rPr>
        <w:t>”) shall be effective and the prospectus contained therein shall be available on such applicable date of determination (with, for the avoidance of doubt, any shares of Common Stock previously issued pursuant to such prospectus deemed unavailable) for the issuance of all the shares of Common Stock issuable upon exercise of this Warrant in connection with the event requiring determination (such applicable aggregate number of shares of Common Stock, each, a “</w:t>
      </w:r>
      <w:r>
        <w:rPr>
          <w:rFonts w:ascii="Times New Roman" w:cs="Times New Roman" w:eastAsia="Times New Roman" w:hAnsi="Times New Roman"/>
          <w:sz w:val="18"/>
          <w:szCs w:val="18"/>
          <w:b w:val="1"/>
          <w:bCs w:val="1"/>
          <w:color w:val="auto"/>
        </w:rPr>
        <w:t>Required Minimum Securities Amount</w:t>
      </w:r>
      <w:r>
        <w:rPr>
          <w:rFonts w:ascii="Times New Roman" w:cs="Times New Roman" w:eastAsia="Times New Roman" w:hAnsi="Times New Roman"/>
          <w:sz w:val="18"/>
          <w:szCs w:val="18"/>
          <w:color w:val="auto"/>
        </w:rPr>
        <w:t>”); (ii) on each day during the period beginning thirty (30) calendar days prior to the applicable date of determination and ending on and including the applicable date of determination (the “</w:t>
      </w:r>
      <w:r>
        <w:rPr>
          <w:rFonts w:ascii="Times New Roman" w:cs="Times New Roman" w:eastAsia="Times New Roman" w:hAnsi="Times New Roman"/>
          <w:sz w:val="18"/>
          <w:szCs w:val="18"/>
          <w:b w:val="1"/>
          <w:bCs w:val="1"/>
          <w:color w:val="auto"/>
        </w:rPr>
        <w:t>Equity Conditions Measuring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the Common Stock (including the shares of Common Stock to be issued in the event requiring this determination) is listed or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quotation (as applicable) on a Trading Market and shall not have been suspended from trading on a Trading Market, nor shall delisting or suspension by a Trading Market have been threatened (with a reasonable prospect of delisting occurring after giving effect to all applicable notice, appeal, compliance and hearing periods) or reasonably likely to occur or pending as evidenced by (A) a writing by such Trading Market or (B) the Company falling below the minimum listing maintenance requirements of the primary Trading Market on which the Common Stock is then listed or designated for quotation (as applicable); (iii) during the Equity Conditions Measuring Period, the Company shall have delivered all Warrant Shares issuable upon exercise of this Warrant on a timely basis as set forth in Section 2 hereof; (iv) the Required Minimum Securities Amount of Common Stock to be issued in connection with the event requiring determination may be issued in full without violating the rules or regulations of the primary Trading Market on which the Common Stock is then listed or designated for quotation (as applicable); (v) on each day during the Equity Conditions Measuring Period, no public announcement of a pending, proposed or intended Fundamental Transaction shall have occurred which has not been abandoned, terminated or consummated; (vi) the Company shall have no knowledge of any fact that would reasonably be expected to cause the applicable Forced Exercise Registration Statement to not be effective or the prospectus contained therein to not be available for the issuance of the Required Minimum Securities Amount of shares of Common Stock in connection with the event requiring such determination; (vii) the Holder shall not be in possession of any material, non-public information provided to any of them by the Company, any of its subsidiaries or any of their respective affiliates, employees, officers, representatives, agents or the like; (viii) any Common Stock to be issued in connection with the event requiring determination may be issued in full without violating Section 2(e) hereof (or the equivalent provisions of any other applicable Warrants), (ix) no Forced Exercise hereunder shall have occurred during the seven (7) Trading Day period immediately prior to such date of determination, (xi) the Holder shall have exercised in full all warrant shares issuable pursuant to the pre-funded common stock purchase warrant issued to the Holder simultaneously with this Warrant, (xii) the average daily trading volume of the Company’s Common Stock on the principal Trading Market for the ten (10) consecutive Trading Days immediately preceding the applicable date of determination, as reported by Bloomberg, shall be not less than ten times the number of Warrant Shares designated in the applicable Forced Exercise Notice, and (xiii) the shares of Common Stock issuable upon exercise of the Warrants are duly authorized and listed and eligible for trading without restriction on a Trading Market. For the purposes hereof, an “Equity Conditions Failure” means that on each day during the period commencing twenty (20) Trading Days prior to the applicable Forced Exercise Notice Date through and including the applicable Forced Exercise Date, the Equity Conditions have not been satisfied (or waived in writing by the Holder).</w:t>
      </w:r>
    </w:p>
    <w:p>
      <w:pPr>
        <w:spacing w:after="0" w:line="38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65" w:name="page66"/>
    <w:bookmarkEnd w:id="65"/>
    <w:p>
      <w:pPr>
        <w:ind w:firstLine="648"/>
        <w:spacing w:after="0" w:line="252" w:lineRule="auto"/>
        <w:rPr>
          <w:sz w:val="20"/>
          <w:szCs w:val="20"/>
          <w:color w:val="auto"/>
        </w:rPr>
      </w:pPr>
      <w:r>
        <w:rPr>
          <w:rFonts w:ascii="Times New Roman" w:cs="Times New Roman" w:eastAsia="Times New Roman" w:hAnsi="Times New Roman"/>
          <w:sz w:val="18"/>
          <w:szCs w:val="18"/>
          <w:color w:val="auto"/>
        </w:rPr>
        <w:t>Mechanics. The Company may exercise its right to require a Forced Exercise under this Section 2(f) on the Trading Day immediately following any Forced Exercise Measuring Period by delivering a written notice thereof, by electronic mail to the Holder (each, a “</w:t>
      </w:r>
      <w:r>
        <w:rPr>
          <w:rFonts w:ascii="Times New Roman" w:cs="Times New Roman" w:eastAsia="Times New Roman" w:hAnsi="Times New Roman"/>
          <w:sz w:val="18"/>
          <w:szCs w:val="18"/>
          <w:b w:val="1"/>
          <w:bCs w:val="1"/>
          <w:color w:val="auto"/>
        </w:rPr>
        <w:t>Forced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and the date thereof, each a “</w:t>
      </w:r>
      <w:r>
        <w:rPr>
          <w:rFonts w:ascii="Times New Roman" w:cs="Times New Roman" w:eastAsia="Times New Roman" w:hAnsi="Times New Roman"/>
          <w:sz w:val="18"/>
          <w:szCs w:val="18"/>
          <w:b w:val="1"/>
          <w:bCs w:val="1"/>
          <w:color w:val="auto"/>
        </w:rPr>
        <w:t>Forced Exercise Notice Date</w:t>
      </w:r>
      <w:r>
        <w:rPr>
          <w:rFonts w:ascii="Times New Roman" w:cs="Times New Roman" w:eastAsia="Times New Roman" w:hAnsi="Times New Roman"/>
          <w:sz w:val="18"/>
          <w:szCs w:val="18"/>
          <w:color w:val="auto"/>
        </w:rPr>
        <w:t>”). For purposes of Section 2(a) hereof, “Forced Exercise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replace “Notice of Exercise” for all purposes thereunder as if the Holder delivered a Notice of Exercise to the Company on the Forced Exercise Notice Date, mutatis mutandis. The Company may only deliver one Forced Exercise Notice in any given twenty (20) Trading Day period. Each Forced Exercise Notice shall (x) state that the Company is electing to effect a Forced Exercise on the second (2nd) Trading Day following the applicable Forced Exercise Notice Date (the “</w:t>
      </w:r>
      <w:r>
        <w:rPr>
          <w:rFonts w:ascii="Times New Roman" w:cs="Times New Roman" w:eastAsia="Times New Roman" w:hAnsi="Times New Roman"/>
          <w:sz w:val="18"/>
          <w:szCs w:val="18"/>
          <w:b w:val="1"/>
          <w:bCs w:val="1"/>
          <w:color w:val="auto"/>
        </w:rPr>
        <w:t>Forced Exercise Date</w:t>
      </w:r>
      <w:r>
        <w:rPr>
          <w:rFonts w:ascii="Times New Roman" w:cs="Times New Roman" w:eastAsia="Times New Roman" w:hAnsi="Times New Roman"/>
          <w:sz w:val="18"/>
          <w:szCs w:val="18"/>
          <w:color w:val="auto"/>
        </w:rPr>
        <w:t>”), (y) state the aggregate number of Warrant Shares to be exercised by the Holder (not in excess of the Maximum Forced Exercise Share Amount) on the Forced Exercise Date (subject to any adjustments thereto pursuant to Section 2 that may occur prior to the Forced Exercise Date), and (z) contain a certification from an officer or director of the Company that the Forced Exercise Conditions shall have been satisfied as of the Forced Exercise Notice Date. Notwithstanding anything herein to the contrary, if the closing sale price of the Common Stock listed on the Trading Market fails to exceed the Forced Exercise Minimum Price on any Trading Day commencing on the Forced Exercise Notice Date and ending and including the Trading Day immediately prior to the applicable Forced Exercise Date (a “</w:t>
      </w:r>
      <w:r>
        <w:rPr>
          <w:rFonts w:ascii="Times New Roman" w:cs="Times New Roman" w:eastAsia="Times New Roman" w:hAnsi="Times New Roman"/>
          <w:sz w:val="18"/>
          <w:szCs w:val="18"/>
          <w:b w:val="1"/>
          <w:bCs w:val="1"/>
          <w:color w:val="auto"/>
        </w:rPr>
        <w:t>Forced Exercise Price Failure</w:t>
      </w:r>
      <w:r>
        <w:rPr>
          <w:rFonts w:ascii="Times New Roman" w:cs="Times New Roman" w:eastAsia="Times New Roman" w:hAnsi="Times New Roman"/>
          <w:sz w:val="18"/>
          <w:szCs w:val="18"/>
          <w:color w:val="auto"/>
        </w:rPr>
        <w:t xml:space="preserve">”) or an Equity Conditions Failure occurs at any time after the Forced Exercise Notice Date and on or prior to the Forced Exercise Date, (A) the Company shall provide the Holder a subsequent notice to that effect and (B) unless the Holder waives (in whole or in part) the applicable Equity Conditions Failure and/or Forced Exercise Price Failure, as applicable, the Forced Exercise shall be cancelled and the applicable Forced Exercise Notice shall be null and </w:t>
      </w:r>
      <w:r>
        <w:rPr>
          <w:rFonts w:ascii="Times New Roman" w:cs="Times New Roman" w:eastAsia="Times New Roman" w:hAnsi="Times New Roman"/>
          <w:sz w:val="18"/>
          <w:szCs w:val="18"/>
          <w:color w:val="242424"/>
        </w:rPr>
        <w:t>void.</w:t>
      </w:r>
    </w:p>
    <w:p>
      <w:pPr>
        <w:spacing w:after="0" w:line="36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66" w:name="page67"/>
    <w:bookmarkEnd w:id="66"/>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644"/>
        <w:spacing w:after="0" w:line="273" w:lineRule="auto"/>
        <w:tabs>
          <w:tab w:leader="none" w:pos="129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Subdivision or Combination of Common Stock</w:t>
      </w:r>
      <w:r>
        <w:rPr>
          <w:rFonts w:ascii="Times New Roman" w:cs="Times New Roman" w:eastAsia="Times New Roman" w:hAnsi="Times New Roman"/>
          <w:sz w:val="17"/>
          <w:szCs w:val="17"/>
          <w:color w:val="auto"/>
        </w:rPr>
        <w:t>. During such time as this Warrant is outstanding, if the Company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3(a) shall become effective at the close of business on the date the subdivision or combination becomes effective.</w:t>
      </w:r>
    </w:p>
    <w:p>
      <w:pPr>
        <w:spacing w:after="0" w:line="171" w:lineRule="exact"/>
        <w:rPr>
          <w:rFonts w:ascii="Times New Roman" w:cs="Times New Roman" w:eastAsia="Times New Roman" w:hAnsi="Times New Roman"/>
          <w:sz w:val="17"/>
          <w:szCs w:val="17"/>
          <w:color w:val="auto"/>
        </w:rPr>
      </w:pPr>
    </w:p>
    <w:p>
      <w:pPr>
        <w:ind w:right="120" w:firstLine="644"/>
        <w:spacing w:after="0" w:line="253" w:lineRule="auto"/>
        <w:tabs>
          <w:tab w:leader="none" w:pos="13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during such time as this Warrant is outstanding the Company grants, issues or sells any rights to purchase stock, warrants, securities or other property, in each case pro rata to the record holders of any class of shares of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Section 2(e)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to the extent that the Holder’s right to participate in any such Purchase Right would result in the Holder and the other Attribution Parties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and the other Attribution Parties exceeding the Maximum Percentage).</w:t>
      </w:r>
    </w:p>
    <w:p>
      <w:pPr>
        <w:spacing w:after="0" w:line="36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67" w:name="page68"/>
    <w:bookmarkEnd w:id="67"/>
    <w:p>
      <w:pPr>
        <w:ind w:left="-460" w:firstLine="644"/>
        <w:spacing w:after="0" w:line="253" w:lineRule="auto"/>
        <w:tabs>
          <w:tab w:leader="none" w:pos="83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Section 2(e) hereof)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and the other Attribution Parties exceeding the Maximum Percentage,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and the other Attribution Parties exceeding the Maximum Percentage).</w:t>
      </w:r>
    </w:p>
    <w:p>
      <w:pPr>
        <w:spacing w:after="0" w:line="35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68" w:name="page69"/>
    <w:bookmarkEnd w:id="68"/>
    <w:p>
      <w:pPr>
        <w:ind w:left="-460" w:firstLine="644"/>
        <w:spacing w:after="0" w:line="250" w:lineRule="auto"/>
        <w:tabs>
          <w:tab w:leader="none" w:pos="8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with or into another Person, (ii) the Company, directly or indirectly, effects any sale, lease, license, assignment, transfer, conveyance or other disposition of all or substantially all of its assets in one or a series of related transactions (which, for the avoidance of doubt, shall not include a license or other agreement granting rights to intellectual property),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(without regard to any limitation in Section 2(e) on the exercise of this Warrant) the number of shares of Common Stock of the successor or acquiring corporation or of the Company, if it is the surviving corporation, and any additional consideration (together, the “</w:t>
      </w:r>
      <w:r>
        <w:rPr>
          <w:rFonts w:ascii="Times New Roman" w:cs="Times New Roman" w:eastAsia="Times New Roman" w:hAnsi="Times New Roman"/>
          <w:sz w:val="18"/>
          <w:szCs w:val="18"/>
          <w:b w:val="1"/>
          <w:bCs w:val="1"/>
          <w:i w:val="1"/>
          <w:iCs w:val="1"/>
          <w:color w:val="auto"/>
        </w:rPr>
        <w:t>Alternate Consideration</w:t>
      </w:r>
      <w:r>
        <w:rPr>
          <w:rFonts w:ascii="Times New Roman" w:cs="Times New Roman" w:eastAsia="Times New Roman" w:hAnsi="Times New Roman"/>
          <w:sz w:val="18"/>
          <w:szCs w:val="18"/>
          <w:color w:val="auto"/>
        </w:rPr>
        <w:t xml:space="preserve">”), if any,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Change of Control, the Company or any Successor Entity shall, at the Holder’s option, exercisable at any time concurrently with, or within 30 days after, the consummation of the Change of Control (or, if later, the date of the public announcement of the applicable Change of Control), purchase this Warrant from the Holder by paying to the Holder an amount of cash equal to the Black Scholes Value of the remaining unexercised portion of this Warrant on the date of the consummation of such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if the Change of Control is not within the Company's control, including not approved by the Company's Board of Directors, the Holder shall only be entitled to receive from the Company or any Successor Entity, as of the date of consummation of such Change of Control, the same type or form of consideration (and in the same proportion), at the Black Scholes Value of the unexercised portion of this Warrant, that is being offered and paid to the holders of Common Stock of the Company in connection with the Change of Control, whether that consideration be in the form of cash, stock or any combination thereof, or whether the holders of Common Stock are given the choice to receive from among alternative forms of consideration in connection with the Change of Control;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holders of Common Stock of the Company are not offered or paid any consideration in such Change of Control, such holders of Common Stock will be deemed to have received common stock of the Successor Entity (which Entity may be the Company following such Change of Control) in such Change of Control. “</w:t>
      </w:r>
      <w:r>
        <w:rPr>
          <w:rFonts w:ascii="Times New Roman" w:cs="Times New Roman" w:eastAsia="Times New Roman" w:hAnsi="Times New Roman"/>
          <w:sz w:val="18"/>
          <w:szCs w:val="18"/>
          <w:b w:val="1"/>
          <w:bCs w:val="1"/>
          <w:i w:val="1"/>
          <w:iCs w:val="1"/>
          <w:color w:val="auto"/>
        </w:rPr>
        <w:t>Black Scholes Value</w:t>
      </w:r>
      <w:r>
        <w:rPr>
          <w:rFonts w:ascii="Times New Roman" w:cs="Times New Roman" w:eastAsia="Times New Roman" w:hAnsi="Times New Roman"/>
          <w:sz w:val="18"/>
          <w:szCs w:val="18"/>
          <w:color w:val="auto"/>
        </w:rPr>
        <w:t>” means the value of this Warrant based on the Black Scholes Option Pricing Model obtained from the “OV” function on Bloomberg, L.P. determined as of the day of consummation of the applicable Change of Control for pricing purposes and reflecting (A) a risk-free interest rate corresponding to the U.S. Treasury rate for a period equal to the time between the date of the public announcement of the applicable Change of Control and the Expiration Date, (B) an expected volatility equal to the 100 day volatility obtained from the HVT function on Bloomberg, L.P. (determined utilizing a 365 day annualization factor) as of the Trading Day immediately following the public announcement of the applicable Change of Control, (C) the underlying price per share used in such calculation shall be the sum of the price per share being offered in cash, if any, plus the value of any non-cash consideration, if any, being offered in such Change of Control and (D) a remaining option time equal to the time between the date of the public announcement of the applicable Change of Control and the Expiration Date. The payment of the Black Scholes Value will be made by wire transfer of immediately available funds (or such other consideration) within five Trading Days of the Holder’s election (or, if later, on the effective date of the Fundamental Transaction). The terms of any agreement pursuant to which a Fundamental Transaction is effected shall include terms requiring any such successor or surviving entity in which the Company is not the survivor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to comply with the provisions of this Section 3(d) and insuring that this Warrant (or any such replacement security) will be similarly adjusted upon any subsequent Fundamental Transaction. The Company shall cause any Successor Entity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the Company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Notwithstanding the foregoing, and without limiting Section 2(e) hereof, the Holder may elect, at its sole option, by delivery of written notice to the Company to waive this Section 3(d) to permit a Fundamental Transaction without the assumption of this Warrant.</w:t>
      </w:r>
    </w:p>
    <w:p>
      <w:pPr>
        <w:sectPr>
          <w:pgSz w:w="11900" w:h="16838" w:orient="portrait"/>
          <w:cols w:equalWidth="0" w:num="1">
            <w:col w:w="10120"/>
          </w:cols>
          <w:pgMar w:left="1440" w:top="121"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type w:val="continuous"/>
        </w:sectPr>
      </w:pPr>
    </w:p>
    <w:bookmarkStart w:id="69" w:name="page70"/>
    <w:bookmarkEnd w:id="69"/>
    <w:p>
      <w:pPr>
        <w:ind w:right="100" w:firstLine="644"/>
        <w:spacing w:after="0" w:line="253" w:lineRule="auto"/>
        <w:tabs>
          <w:tab w:leader="none" w:pos="129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Section 3 shall be made to the nearest cent or the nearest whole share, as the case may be. For purposes of this Section 3, any calculation of the number of shares of Common Stock deemed to be issued and outstanding as of a given date shall not include treasury shares, if any. Notwithstanding anything to the contrary in this Section 3, no adjustment in the Exercise Price shall be required unless such adjustment would require an increase or decrease of at least 1% in such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adjustments which by reason of the immediately preceding sentence are not required to be made shall be carried forward and taken into account in any subsequent adjustment. In any case in which this Section 3 shall require that an adjustment in the Exercise Price be made effective as of a record date for a specified event, if Holder exercises this Warrant after such record date, the Company may elect to defer, until the occurrence of such event, the issuance of the shares of Common Stock and other capital stock of the Company in excess of the shares of Common Stock and other capital stock of the Company, if any, issuable upon such exercise on the basis of the Exercise Price in effect prior to such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such case the Company shall deliver to the Holder a due bill or other appropriate instrument evidencing the Holder’s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such additional shares and/or other capital securities upon the occurrence of the event requiring such adjustment.</w:t>
      </w:r>
    </w:p>
    <w:p>
      <w:pPr>
        <w:spacing w:after="0" w:line="191" w:lineRule="exact"/>
        <w:rPr>
          <w:rFonts w:ascii="Times New Roman" w:cs="Times New Roman" w:eastAsia="Times New Roman" w:hAnsi="Times New Roman"/>
          <w:sz w:val="18"/>
          <w:szCs w:val="18"/>
          <w:color w:val="auto"/>
        </w:rPr>
      </w:pPr>
    </w:p>
    <w:p>
      <w:pPr>
        <w:ind w:right="140" w:firstLine="644"/>
        <w:spacing w:after="0" w:line="282" w:lineRule="auto"/>
        <w:tabs>
          <w:tab w:leader="none" w:pos="132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15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644"/>
        <w:spacing w:after="0" w:line="272" w:lineRule="auto"/>
        <w:tabs>
          <w:tab w:leader="none" w:pos="129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Subject to compliance with any applicable securities laws, this Warrant and all rights hereunder are transferable, in whole or in part, upon surrender of this Warrant at the principal office of the Company (or other designated agent), together with a written assignment of this Warrant substantially in the form attached hereto duly executed by the Holder or its agent or attorney (along with a medallion signature guarantee if requested by the Company)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34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121" w:right="399" w:bottom="1440" w:gutter="0" w:footer="0" w:header="0"/>
        </w:sectPr>
      </w:pPr>
    </w:p>
    <w:bookmarkStart w:id="70" w:name="page71"/>
    <w:bookmarkEnd w:id="70"/>
    <w:p>
      <w:pPr>
        <w:ind w:right="20" w:firstLine="644"/>
        <w:spacing w:after="0" w:line="256" w:lineRule="auto"/>
        <w:tabs>
          <w:tab w:leader="none" w:pos="13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(or other designated agent),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set forth on the first page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right="40" w:firstLine="644"/>
        <w:spacing w:after="0" w:line="253" w:lineRule="auto"/>
        <w:tabs>
          <w:tab w:leader="none" w:pos="129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initially serve as warrant agent under this Warrant. The Company shall register ownership of this Warrant, upon records to be maintained by the Company for that purpose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assigned hereunder) from time to time.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The Company may deem and treat the registered Holder of this Warrant as the absolute owner hereof for the purpose of any exercise hereof or any distribution to the Holder, and for all other purposes, absent actual notice to the contrary.</w:t>
      </w:r>
    </w:p>
    <w:p>
      <w:pPr>
        <w:spacing w:after="0" w:line="19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u w:val="single" w:color="auto"/>
          <w:color w:val="auto"/>
        </w:rPr>
        <w:t>Miscellaneous.</w:t>
      </w:r>
    </w:p>
    <w:p>
      <w:pPr>
        <w:spacing w:after="0" w:line="229" w:lineRule="exact"/>
        <w:rPr>
          <w:sz w:val="20"/>
          <w:szCs w:val="20"/>
          <w:color w:val="auto"/>
        </w:rPr>
      </w:pPr>
    </w:p>
    <w:p>
      <w:pPr>
        <w:ind w:right="420" w:firstLine="644"/>
        <w:spacing w:after="0" w:line="282" w:lineRule="auto"/>
        <w:tabs>
          <w:tab w:leader="none" w:pos="129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Except as set forth in Section 3(c), this Warrant does not entitle the Holder to any voting rights, dividends or other rights as a stockholder of the Company prior to the exercise hereof as set forth in Section 2.</w:t>
      </w:r>
    </w:p>
    <w:p>
      <w:pPr>
        <w:spacing w:after="0" w:line="161" w:lineRule="exact"/>
        <w:rPr>
          <w:rFonts w:ascii="Times New Roman" w:cs="Times New Roman" w:eastAsia="Times New Roman" w:hAnsi="Times New Roman"/>
          <w:sz w:val="18"/>
          <w:szCs w:val="18"/>
          <w:color w:val="auto"/>
        </w:rPr>
      </w:pPr>
    </w:p>
    <w:p>
      <w:pPr>
        <w:ind w:right="60" w:firstLine="644"/>
        <w:spacing w:after="0" w:line="258" w:lineRule="auto"/>
        <w:tabs>
          <w:tab w:leader="none" w:pos="13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evidence reasonably satisfactory to them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jc w:val="both"/>
        <w:ind w:firstLine="644"/>
        <w:spacing w:after="0" w:line="312" w:lineRule="auto"/>
        <w:tabs>
          <w:tab w:leader="none" w:pos="134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71" w:name="page72"/>
    <w:bookmarkEnd w:id="71"/>
    <w:p>
      <w:pPr>
        <w:ind w:left="4" w:firstLine="644"/>
        <w:spacing w:after="0" w:line="251" w:lineRule="auto"/>
        <w:tabs>
          <w:tab w:leader="none" w:pos="131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limitations on exercise contained herein).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in each case to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w:t>
      </w:r>
    </w:p>
    <w:p>
      <w:pPr>
        <w:spacing w:after="0" w:line="11" w:lineRule="exact"/>
        <w:rPr>
          <w:rFonts w:ascii="Times New Roman" w:cs="Times New Roman" w:eastAsia="Times New Roman" w:hAnsi="Times New Roman"/>
          <w:sz w:val="18"/>
          <w:szCs w:val="18"/>
          <w:color w:val="auto"/>
        </w:rPr>
      </w:pPr>
    </w:p>
    <w:p>
      <w:pPr>
        <w:ind w:left="4" w:right="220" w:hanging="4"/>
        <w:spacing w:after="0" w:line="253" w:lineRule="auto"/>
        <w:tabs>
          <w:tab w:leader="none" w:pos="21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6" w:lineRule="exact"/>
        <w:rPr>
          <w:rFonts w:ascii="Times New Roman" w:cs="Times New Roman" w:eastAsia="Times New Roman" w:hAnsi="Times New Roman"/>
          <w:sz w:val="18"/>
          <w:szCs w:val="18"/>
          <w:color w:val="auto"/>
        </w:rPr>
      </w:pPr>
    </w:p>
    <w:p>
      <w:pPr>
        <w:ind w:left="4" w:right="580" w:firstLine="644"/>
        <w:spacing w:after="0" w:line="282" w:lineRule="auto"/>
        <w:tabs>
          <w:tab w:leader="none" w:pos="130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New York without giving effect to the conflicts of law principles thereof.</w:t>
      </w:r>
    </w:p>
    <w:p>
      <w:pPr>
        <w:spacing w:after="0" w:line="161" w:lineRule="exact"/>
        <w:rPr>
          <w:rFonts w:ascii="Times New Roman" w:cs="Times New Roman" w:eastAsia="Times New Roman" w:hAnsi="Times New Roman"/>
          <w:sz w:val="18"/>
          <w:szCs w:val="18"/>
          <w:color w:val="auto"/>
        </w:rPr>
      </w:pPr>
    </w:p>
    <w:p>
      <w:pPr>
        <w:ind w:left="4" w:right="80" w:firstLine="644"/>
        <w:spacing w:after="0" w:line="256" w:lineRule="auto"/>
        <w:tabs>
          <w:tab w:leader="none" w:pos="128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35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72" w:name="page73"/>
    <w:bookmarkEnd w:id="72"/>
    <w:p>
      <w:pPr>
        <w:ind w:left="840" w:hanging="656"/>
        <w:spacing w:after="0"/>
        <w:tabs>
          <w:tab w:leader="none" w:pos="8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 w:right="100" w:firstLine="652"/>
        <w:spacing w:after="0" w:line="254" w:lineRule="auto"/>
        <w:tabs>
          <w:tab w:leader="none" w:pos="144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Procedures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email or facsimile at or prior to 5:30 p.m. (New York City time) on a Trading Day, (b) the next Trading Day after the date of transmission, if such notice or communication is delivered via email or facsimile on a day that is not a Trading Day or later than 5:30 p.m. (New York City time) on any Trading Day, (c) the second Trading Day following the date of mailing, if sent by U.S. nationally recognized overnight courier service or by International Federal Express, (d) the third Trading Day following the date of mailing if sent by first-class registered or certified mail domestic, or (e) upon actual receipt by the party to whom such notice is required to be given. The addresses for such communications shall be:</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Sangamo Therapeutics, Inc.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501 Canal Blvd.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Richmond, California 94804</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Scott Willoughby</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swilloughby@sangamo.com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 Embarcadero Center, 20th Floor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Chadwick L. Mills, Esq.</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cmills@cooley.com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to the Holder:</w:t>
      </w:r>
    </w:p>
    <w:p>
      <w:pPr>
        <w:spacing w:after="0" w:line="225" w:lineRule="exact"/>
        <w:rPr>
          <w:sz w:val="20"/>
          <w:szCs w:val="20"/>
          <w:color w:val="auto"/>
        </w:rPr>
      </w:pPr>
    </w:p>
    <w:p>
      <w:pPr>
        <w:ind w:left="840" w:right="260"/>
        <w:spacing w:after="0" w:line="282" w:lineRule="auto"/>
        <w:rPr>
          <w:sz w:val="20"/>
          <w:szCs w:val="20"/>
          <w:color w:val="auto"/>
        </w:rPr>
      </w:pPr>
      <w:r>
        <w:rPr>
          <w:rFonts w:ascii="Times New Roman" w:cs="Times New Roman" w:eastAsia="Times New Roman" w:hAnsi="Times New Roman"/>
          <w:sz w:val="18"/>
          <w:szCs w:val="18"/>
          <w:color w:val="auto"/>
        </w:rPr>
        <w:t>To the address, email address or facsimile number set forth in the Warrant Register, or as otherwise provided by the Holder to the Company in accordance with this Section 5(g)(i).</w:t>
      </w:r>
    </w:p>
    <w:p>
      <w:pPr>
        <w:spacing w:after="0" w:line="162" w:lineRule="exact"/>
        <w:rPr>
          <w:sz w:val="20"/>
          <w:szCs w:val="20"/>
          <w:color w:val="auto"/>
        </w:rPr>
      </w:pPr>
    </w:p>
    <w:p>
      <w:pPr>
        <w:jc w:val="both"/>
        <w:ind w:left="180" w:right="80" w:firstLine="652"/>
        <w:spacing w:after="0" w:line="261" w:lineRule="auto"/>
        <w:tabs>
          <w:tab w:leader="none" w:pos="145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or number of Warrant Shares is adjusted pursuant to any provision of Section 3, the Company shall promptly, but in no event later than two (2) Trading Days after such adjustment, provide the Holder a notice setting forth the Exercise Price and number of Warrant Shares after such adjustment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ind w:left="180" w:firstLine="652"/>
        <w:spacing w:after="0" w:line="252" w:lineRule="auto"/>
        <w:tabs>
          <w:tab w:leader="none" w:pos="145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the Holder</w:t>
      </w:r>
      <w:r>
        <w:rPr>
          <w:rFonts w:ascii="Times New Roman" w:cs="Times New Roman" w:eastAsia="Times New Roman" w:hAnsi="Times New Roman"/>
          <w:sz w:val="18"/>
          <w:szCs w:val="18"/>
          <w:color w:val="auto"/>
        </w:rPr>
        <w:t xml:space="preserve">. After the Issue Date and on or prior to the Expiration Date,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(which, for the avoidance of doubt, shall not include a license or other agreement granting rights to intellectual property),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mail such notice or any defect therein or in the 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36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3" w:name="page74"/>
    <w:bookmarkEnd w:id="73"/>
    <w:p>
      <w:pPr>
        <w:jc w:val="both"/>
        <w:ind w:left="-460" w:right="40" w:firstLine="644"/>
        <w:spacing w:after="0" w:line="261" w:lineRule="auto"/>
        <w:tabs>
          <w:tab w:leader="none" w:pos="84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ind w:left="-460" w:firstLine="644"/>
        <w:spacing w:after="0" w:line="274" w:lineRule="auto"/>
        <w:tabs>
          <w:tab w:leader="none" w:pos="85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Notwithstanding the foregoing or anything else herein to the contrary, if the Company is for any reason unable to issue and deliver Warrant Shares upon exercise of this Warrant as required pursuant to the terms hereof, the Company shall have no obligation to pay to the Holder any cash or other consideration or otherwise “net cash settle” this Warrant.</w:t>
      </w:r>
    </w:p>
    <w:p>
      <w:pPr>
        <w:spacing w:after="0" w:line="172" w:lineRule="exact"/>
        <w:rPr>
          <w:rFonts w:ascii="Times New Roman" w:cs="Times New Roman" w:eastAsia="Times New Roman" w:hAnsi="Times New Roman"/>
          <w:sz w:val="17"/>
          <w:szCs w:val="17"/>
          <w:color w:val="auto"/>
        </w:rPr>
      </w:pPr>
    </w:p>
    <w:p>
      <w:pPr>
        <w:ind w:left="-460" w:firstLine="644"/>
        <w:spacing w:after="0" w:line="261" w:lineRule="auto"/>
        <w:tabs>
          <w:tab w:leader="none" w:pos="8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620" w:firstLine="644"/>
        <w:spacing w:after="0" w:line="282" w:lineRule="auto"/>
        <w:tabs>
          <w:tab w:leader="none" w:pos="84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9" w:lineRule="auto"/>
        <w:tabs>
          <w:tab w:leader="none" w:pos="80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3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74" w:name="page75"/>
    <w:bookmarkEnd w:id="74"/>
    <w:p>
      <w:pPr>
        <w:ind w:left="-460" w:right="100" w:firstLine="644"/>
        <w:spacing w:after="0" w:line="253" w:lineRule="auto"/>
        <w:tabs>
          <w:tab w:leader="none" w:pos="8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Holder agrees to keep confidential any proprietary information relating to the Company delivered by the Company hereunder; provided that nothing herein shall prevent the Holder from disclosing such information: (i) to any holder of Warrants or Warrant Shares, (ii) to any Affiliate of any holder of Warrants or Warrant Shares or any actual or potential transferee of the rights or obligations hereunder that agrees to be bound by this Section 5(m), (iii) upon order, subpoena, or other process of any court or administrative agency or otherwise required by law, (iv) upon the request or demand of any regulatory agency or authority having jurisdiction over such party, (v) which has been publicly disclosed without breach of any obligation to the Company, (vi) which has been obtained from any Person that is not a party hereto or an Affiliate of any such party without any breach of any obligation to the Company, (vii) in connection with the exercise of any remedy, or the resolution of any dispute hereunder, (viii) to the legal counsel or certified public accountants for any holder of Warrants or Warrant Shares, or (ix) as otherwise expressly contemplated by this Warrant. Notwithstanding the foregoing, the Company shall not provide material, non-public information or confidential or proprietary information to the Holder without such Holder’s written consent.</w:t>
      </w:r>
    </w:p>
    <w:p>
      <w:pPr>
        <w:spacing w:after="0" w:line="194" w:lineRule="exact"/>
        <w:rPr>
          <w:rFonts w:ascii="Times New Roman" w:cs="Times New Roman" w:eastAsia="Times New Roman" w:hAnsi="Times New Roman"/>
          <w:sz w:val="18"/>
          <w:szCs w:val="18"/>
          <w:color w:val="auto"/>
        </w:rPr>
      </w:pPr>
    </w:p>
    <w:p>
      <w:pPr>
        <w:ind w:left="-460" w:right="100" w:firstLine="644"/>
        <w:spacing w:after="0" w:line="253" w:lineRule="auto"/>
        <w:tabs>
          <w:tab w:leader="none" w:pos="8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within two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via facsimile (i) the disputed determination of the Exercise Price to an independent, reputable investment bank selected by the Company and approved by the Holder or (ii)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10 Business Days from the time it receives the disputed determinations or calculations. Such investment bank’s or accountant’s determination or calculation, as the case may be, shall be binding upon all parties absent demonstrable error. The expenses of the investment bank and accountant will be borne by the Company unless the investment bank or accountant determines that the determination of the Exercise Price or the arithmetic calculation of the Warrant Shares by the Holder was incorrect, in which case the expenses of the investment bank and accountant will be borne by the Holder.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8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3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5" w:name="page76"/>
    <w:bookmarkEnd w:id="7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Warrant to be executed by its officer thereunto duly authorized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indicated.</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i w:val="1"/>
          <w:iCs w:val="1"/>
          <w:color w:val="auto"/>
        </w:rPr>
        <w:t>[Signature Page to Sangamo Therapeutics, Inc.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7" w:right="79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ectPr>
          <w:pgSz w:w="11900" w:h="16838" w:orient="portrait"/>
          <w:cols w:equalWidth="0" w:num="1">
            <w:col w:w="11200"/>
          </w:cols>
          <w:pgMar w:left="320" w:top="117" w:right="37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Sangamo Therapeutics, Inc.</w:t>
      </w:r>
    </w:p>
    <w:p>
      <w:pPr>
        <w:spacing w:after="0" w:line="211" w:lineRule="exact"/>
        <w:rPr>
          <w:sz w:val="20"/>
          <w:szCs w:val="20"/>
          <w:color w:val="auto"/>
        </w:rPr>
      </w:pPr>
    </w:p>
    <w:p>
      <w:pPr>
        <w:sectPr>
          <w:pgSz w:w="11900" w:h="16838" w:orient="portrait"/>
          <w:cols w:equalWidth="0" w:num="2">
            <w:col w:w="300" w:space="360"/>
            <w:col w:w="10540"/>
          </w:cols>
          <w:pgMar w:left="320" w:top="117" w:right="379" w:bottom="1440" w:gutter="0" w:footer="0" w:header="0"/>
          <w:type w:val="continuous"/>
        </w:sectPr>
      </w:pPr>
    </w:p>
    <w:p>
      <w:pPr>
        <w:spacing w:after="0" w:line="25" w:lineRule="exact"/>
        <w:rPr>
          <w:sz w:val="20"/>
          <w:szCs w:val="20"/>
          <w:color w:val="auto"/>
        </w:rPr>
      </w:pPr>
    </w:p>
    <w:p>
      <w:pPr>
        <w:ind w:left="660" w:right="80" w:hanging="65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The undersigned hereby elects to purchase Warrant Shares of the Company pursuant to the terms of the attached Warrant (only if exercised in full), and tenders herewith payment of the exercise price in full, together with all applicable transfer taxes, if any.</w:t>
      </w:r>
    </w:p>
    <w:p>
      <w:pPr>
        <w:sectPr>
          <w:pgSz w:w="11900" w:h="16838" w:orient="portrait"/>
          <w:cols w:equalWidth="0" w:num="1">
            <w:col w:w="11200"/>
          </w:cols>
          <w:pgMar w:left="320" w:top="117" w:right="379" w:bottom="1440" w:gutter="0" w:footer="0" w:header="0"/>
          <w:type w:val="continuous"/>
        </w:sectPr>
      </w:pPr>
    </w:p>
    <w:p>
      <w:pPr>
        <w:spacing w:after="0" w:line="162"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 lawful money of the United States; or</w:t>
      </w:r>
    </w:p>
    <w:p>
      <w:pPr>
        <w:spacing w:after="0" w:line="225" w:lineRule="exact"/>
        <w:rPr>
          <w:rFonts w:ascii="MS PGothic" w:cs="MS PGothic" w:eastAsia="MS PGothic" w:hAnsi="MS PGothic"/>
          <w:sz w:val="18"/>
          <w:szCs w:val="18"/>
          <w:color w:val="auto"/>
        </w:rPr>
      </w:pPr>
    </w:p>
    <w:p>
      <w:pPr>
        <w:ind w:left="1300" w:hanging="644"/>
        <w:spacing w:after="0" w:line="258" w:lineRule="auto"/>
        <w:tabs>
          <w:tab w:leader="none" w:pos="1300" w:val="left"/>
        </w:tabs>
        <w:numPr>
          <w:ilvl w:val="1"/>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(if permitted pursuant to Section 2(d) of the Warrant): the cancellation of such number of Warrant Shares as is necessary, in accordance with the formula set forth in Section 2(d), to exercise this Warrant with respect to the maximum number of Warrant Shares purchasable pursuant to the cashless exercise procedure set forth in Section 2(d). For the avoidance of doubt, this Warrant may only be exercised by the Holder pursuant to a Cashless Exercise if, and only if, at the time of exercise hereof, a Registration Default is then existing, as determined by the Company in good faith. See Section 2(d) of the Warrant.</w:t>
      </w:r>
    </w:p>
    <w:p>
      <w:pPr>
        <w:spacing w:after="0" w:line="183" w:lineRule="exact"/>
        <w:rPr>
          <w:rFonts w:ascii="MS PGothic" w:cs="MS PGothic" w:eastAsia="MS PGothic" w:hAnsi="MS PGothic"/>
          <w:sz w:val="18"/>
          <w:szCs w:val="18"/>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154305</wp:posOffset>
            </wp:positionV>
            <wp:extent cx="670369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by physical delivery of a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154305</wp:posOffset>
            </wp:positionV>
            <wp:extent cx="670369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308610</wp:posOffset>
            </wp:positionV>
            <wp:extent cx="670369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462915</wp:posOffset>
            </wp:positionV>
            <wp:extent cx="670369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66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66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66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66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66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3" w:lineRule="exact"/>
        <w:rPr>
          <w:sz w:val="20"/>
          <w:szCs w:val="20"/>
          <w:color w:val="auto"/>
        </w:rPr>
      </w:pPr>
    </w:p>
    <w:p>
      <w:pPr>
        <w:spacing w:after="0"/>
        <w:tabs>
          <w:tab w:leader="none" w:pos="2560" w:val="left"/>
          <w:tab w:leader="none" w:pos="3840" w:val="left"/>
        </w:tabs>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all of or [</w:t>
      </w:r>
      <w:r>
        <w:rPr>
          <w:sz w:val="20"/>
          <w:szCs w:val="20"/>
          <w:color w:val="auto"/>
        </w:rPr>
        <w:tab/>
      </w:r>
      <w:r>
        <w:rPr>
          <w:rFonts w:ascii="Times New Roman" w:cs="Times New Roman" w:eastAsia="Times New Roman" w:hAnsi="Times New Roman"/>
          <w:sz w:val="17"/>
          <w:szCs w:val="17"/>
          <w:color w:val="auto"/>
        </w:rPr>
        <w:t>] shares of the foregoing Warrant and all rights evidenced thereby are hereby assigned to</w:t>
      </w:r>
    </w:p>
    <w:p>
      <w:pPr>
        <w:spacing w:after="0" w:line="22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974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974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49974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974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49974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974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49974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9974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9974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974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49974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974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49974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65860" cy="3771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Courtney Tygesson</w:t>
      </w:r>
    </w:p>
    <w:p>
      <w:pPr>
        <w:spacing w:after="0" w:line="27" w:lineRule="exact"/>
        <w:rPr>
          <w:sz w:val="20"/>
          <w:szCs w:val="20"/>
          <w:color w:val="auto"/>
        </w:rPr>
      </w:pPr>
    </w:p>
    <w:p>
      <w:pPr>
        <w:ind w:right="9540" w:firstLine="8"/>
        <w:spacing w:after="0" w:line="290" w:lineRule="auto"/>
        <w:tabs>
          <w:tab w:leader="none" w:pos="19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+1 312 881-6680 ctygesson@cooley.com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Sangamo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501 Canal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California 94804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counsel to Sangamo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of (i) 12,235,000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its common stock, par value $0.01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(ii) pre-funded warrants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to purchase up to 34,398,393 shares of Common Stock (the “</w:t>
      </w:r>
      <w:r>
        <w:rPr>
          <w:rFonts w:ascii="Times New Roman" w:cs="Times New Roman" w:eastAsia="Times New Roman" w:hAnsi="Times New Roman"/>
          <w:sz w:val="18"/>
          <w:szCs w:val="18"/>
          <w:b w:val="1"/>
          <w:bCs w:val="1"/>
          <w:i w:val="1"/>
          <w:iCs w:val="1"/>
          <w:color w:val="auto"/>
        </w:rPr>
        <w:t>Pre-Funded Warrant Shares</w:t>
      </w:r>
      <w:r>
        <w:rPr>
          <w:rFonts w:ascii="Times New Roman" w:cs="Times New Roman" w:eastAsia="Times New Roman" w:hAnsi="Times New Roman"/>
          <w:sz w:val="18"/>
          <w:szCs w:val="18"/>
          <w:color w:val="auto"/>
        </w:rPr>
        <w:t>”), and (iii) accompanying warrants (together with the Pre-Funded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purchase up to 46,633,393 shares of Common Stock (together with the Pre-Funded Warrant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pursuant to the Registration Statement on Form S-3 (File No. 333-283179)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by the Company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dated May 12, 2025, filed with the Commission pursuant 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Prospectus, the forms of Warrants,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regard to our opinion as to the Warrant Shares, we express no opinion to the extent that future issuances of securities by the Company, antidilution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regard to our opinion concerning the Warrants constituting valid and binding obligations of the Company:</w:t>
      </w:r>
    </w:p>
    <w:p>
      <w:pPr>
        <w:spacing w:after="0" w:line="225" w:lineRule="exact"/>
        <w:rPr>
          <w:sz w:val="20"/>
          <w:szCs w:val="20"/>
          <w:color w:val="auto"/>
        </w:rPr>
      </w:pPr>
    </w:p>
    <w:p>
      <w:pPr>
        <w:jc w:val="both"/>
        <w:ind w:left="820" w:hanging="488"/>
        <w:spacing w:after="0" w:line="261" w:lineRule="auto"/>
        <w:tabs>
          <w:tab w:leader="none" w:pos="8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110 N. Wacker Drive, Suite 4200 Chicago, IL 60606-1511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(312) 881-6500 f: (312) 881-6598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65860" cy="3771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Sangamo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66" w:lineRule="exact"/>
        <w:rPr>
          <w:sz w:val="20"/>
          <w:szCs w:val="20"/>
          <w:color w:val="auto"/>
        </w:rPr>
      </w:pPr>
    </w:p>
    <w:p>
      <w:pPr>
        <w:ind w:left="820" w:right="20" w:hanging="488"/>
        <w:spacing w:after="0" w:line="282" w:lineRule="auto"/>
        <w:tabs>
          <w:tab w:leader="none" w:pos="8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subject to the qualification that the availability of specific performance, an injunction or other equitable remedies is subject to the discretion of the court before which the request is brought.</w:t>
      </w:r>
    </w:p>
    <w:p>
      <w:pPr>
        <w:spacing w:after="0" w:line="161" w:lineRule="exact"/>
        <w:rPr>
          <w:rFonts w:ascii="Times New Roman" w:cs="Times New Roman" w:eastAsia="Times New Roman" w:hAnsi="Times New Roman"/>
          <w:sz w:val="18"/>
          <w:szCs w:val="18"/>
          <w:color w:val="auto"/>
        </w:rPr>
      </w:pPr>
    </w:p>
    <w:p>
      <w:pPr>
        <w:jc w:val="both"/>
        <w:ind w:left="820" w:hanging="488"/>
        <w:spacing w:after="0" w:line="255" w:lineRule="auto"/>
        <w:tabs>
          <w:tab w:leader="none" w:pos="8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any provision of the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(f) authorizes or validates conclusive or discretionary determinations, or (g) provides that provisions of the Warrants are severable to the extent an essential part of the agreed exchange is determined to be invalid and unenforceable.</w:t>
      </w:r>
    </w:p>
    <w:p>
      <w:pPr>
        <w:spacing w:after="0" w:line="188"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whether a state court outside of the State of New York or a federal court of the United States would give effect to the choice of New York law or jurisdiction provided for in the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expressed solely with respect to the General Corporation Law of the State of Delaware, and, as to the Warrants constituting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basis of the foregoing, in reliance thereon and subject to the qualifications set forth herein, we are of the opinion that (i) the Shares, when sold and issued against payment therefor in accordance with the Registration Statement and the Prospectus, will be validly issued, fully paid and non-assessable, (ii) the Warrants, when duly executed by the Company and delivered to the purchasers thereof against payment therefor as described in the Registration Statement and the Prospectus, will be binding obligations of the Company and (iii) the Warrant Shares, when issued and paid for in accordance with the terms of the Warrants, will be validly issued,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undertake no obligation or responsibility to update or supplement this letter to reflect any facts or circumstances that may hereafter come to our attention or any changes in law that may hereafter occur.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 “Legal Matters” in the Prospectus and to the filing of this opinion as an exhibit to the Company’s Current Report on Form 8-K filed with the Commission for incorporation by reference into the Registration Statement. In giving such consent, we do not thereby admit that we are in the category of persons whose consent is required under Section 7 of the Securities Act or the rules and regulations of the Commission thereunder.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110 N. Wacker Drive, Suite 4200 Chicago, IL 60606-1511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(312) 881-6500 f: (312) 881-6598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65860" cy="3771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Sangamo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ooley</w:t>
      </w:r>
      <w:r>
        <w:rPr>
          <w:rFonts w:ascii="Times New Roman" w:cs="Times New Roman" w:eastAsia="Times New Roman" w:hAnsi="Times New Roman"/>
          <w:sz w:val="18"/>
          <w:szCs w:val="18"/>
          <w:b w:val="1"/>
          <w:bCs w:val="1"/>
          <w:color w:val="auto"/>
        </w:rPr>
        <w:t xml:space="preserve"> LLP</w:t>
      </w:r>
    </w:p>
    <w:p>
      <w:pPr>
        <w:spacing w:after="0" w:line="2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Courtney Tygesson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Courtney Tygesson</w:t>
      </w:r>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color w:val="auto"/>
        </w:rPr>
        <w:t>Cooley LLP  110 N. Wacker Drive, Suite 4200 Chicago, IL 60606-1511</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color w:val="auto"/>
        </w:rPr>
        <w:t>t: (312) 881-6500 f: (312) 881-6598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1."/>
      <w:numFmt w:val="decimal"/>
      <w:start w:val="1"/>
    </w:lvl>
  </w:abstractNum>
  <w:abstractNum w:abstractNumId="2">
    <w:nsid w:val="1BA026FA"/>
    <w:multiLevelType w:val="hybridMultilevel"/>
    <w:lvl w:ilvl="0">
      <w:lvlJc w:val="left"/>
      <w:lvlText w:val="%1."/>
      <w:numFmt w:val="decimal"/>
      <w:start w:val="2"/>
    </w:lvl>
  </w:abstractNum>
  <w:abstractNum w:abstractNumId="3">
    <w:nsid w:val="79A1DEAA"/>
    <w:multiLevelType w:val="hybridMultilevel"/>
    <w:lvl w:ilvl="0">
      <w:lvlJc w:val="left"/>
      <w:lvlText w:val="(%1)"/>
      <w:numFmt w:val="lowerLetter"/>
      <w:start w:val="1"/>
    </w:lvl>
  </w:abstractNum>
  <w:abstractNum w:abstractNumId="4">
    <w:nsid w:val="75C6C33A"/>
    <w:multiLevelType w:val="hybridMultilevel"/>
    <w:lvl w:ilvl="0">
      <w:lvlJc w:val="left"/>
      <w:lvlText w:val="(%1)"/>
      <w:numFmt w:val="lowerLetter"/>
      <w:start w:val="3"/>
    </w:lvl>
  </w:abstractNum>
  <w:abstractNum w:abstractNumId="5">
    <w:nsid w:val="12E685FB"/>
    <w:multiLevelType w:val="hybridMultilevel"/>
    <w:lvl w:ilvl="0">
      <w:lvlJc w:val="left"/>
      <w:lvlText w:val="(%1)"/>
      <w:numFmt w:val="lowerLetter"/>
      <w:start w:val="4"/>
    </w:lvl>
  </w:abstractNum>
  <w:abstractNum w:abstractNumId="6">
    <w:nsid w:val="70C6A529"/>
    <w:multiLevelType w:val="hybridMultilevel"/>
    <w:lvl w:ilvl="0">
      <w:lvlJc w:val="left"/>
      <w:lvlText w:val="%1."/>
      <w:numFmt w:val="decimal"/>
      <w:start w:val="3"/>
    </w:lvl>
  </w:abstractNum>
  <w:abstractNum w:abstractNumId="7">
    <w:nsid w:val="520EEDD1"/>
    <w:multiLevelType w:val="hybridMultilevel"/>
    <w:lvl w:ilvl="0">
      <w:lvlJc w:val="left"/>
      <w:lvlText w:val="(%1)"/>
      <w:numFmt w:val="lowerLetter"/>
      <w:start w:val="1"/>
    </w:lvl>
  </w:abstractNum>
  <w:abstractNum w:abstractNumId="8">
    <w:nsid w:val="374A3FE6"/>
    <w:multiLevelType w:val="hybridMultilevel"/>
    <w:lvl w:ilvl="0">
      <w:lvlJc w:val="left"/>
      <w:lvlText w:val="(%1)"/>
      <w:numFmt w:val="lowerLetter"/>
      <w:start w:val="2"/>
    </w:lvl>
  </w:abstractNum>
  <w:abstractNum w:abstractNumId="9">
    <w:nsid w:val="4F4EF005"/>
    <w:multiLevelType w:val="hybridMultilevel"/>
    <w:lvl w:ilvl="0">
      <w:lvlJc w:val="left"/>
      <w:lvlText w:val="(%1)"/>
      <w:numFmt w:val="lowerLetter"/>
      <w:start w:val="5"/>
    </w:lvl>
  </w:abstractNum>
  <w:abstractNum w:abstractNumId="10">
    <w:nsid w:val="23F9C13C"/>
    <w:multiLevelType w:val="hybridMultilevel"/>
    <w:lvl w:ilvl="0">
      <w:lvlJc w:val="left"/>
      <w:lvlText w:val="(%1)"/>
      <w:numFmt w:val="lowerLetter"/>
      <w:start w:val="8"/>
    </w:lvl>
  </w:abstractNum>
  <w:abstractNum w:abstractNumId="11">
    <w:nsid w:val="649BB77C"/>
    <w:multiLevelType w:val="hybridMultilevel"/>
    <w:lvl w:ilvl="0">
      <w:lvlJc w:val="left"/>
      <w:lvlText w:val="(%1)"/>
      <w:numFmt w:val="lowerLetter"/>
      <w:start w:val="12"/>
    </w:lvl>
  </w:abstractNum>
  <w:abstractNum w:abstractNumId="12">
    <w:nsid w:val="275AC794"/>
    <w:multiLevelType w:val="hybridMultilevel"/>
    <w:lvl w:ilvl="0">
      <w:lvlJc w:val="left"/>
      <w:lvlText w:val="(%1)"/>
      <w:numFmt w:val="lowerLetter"/>
      <w:start w:val="16"/>
    </w:lvl>
  </w:abstractNum>
  <w:abstractNum w:abstractNumId="13">
    <w:nsid w:val="39386575"/>
    <w:multiLevelType w:val="hybridMultilevel"/>
    <w:lvl w:ilvl="0">
      <w:lvlJc w:val="left"/>
      <w:lvlText w:val="(%1)"/>
      <w:numFmt w:val="lowerLetter"/>
      <w:start w:val="20"/>
    </w:lvl>
  </w:abstractNum>
  <w:abstractNum w:abstractNumId="14">
    <w:nsid w:val="1CF10FD8"/>
    <w:multiLevelType w:val="hybridMultilevel"/>
    <w:lvl w:ilvl="0">
      <w:lvlJc w:val="left"/>
      <w:lvlText w:val="(%1)"/>
      <w:numFmt w:val="lowerRoman"/>
      <w:start w:val="5"/>
    </w:lvl>
  </w:abstractNum>
  <w:abstractNum w:abstractNumId="15">
    <w:nsid w:val="180115BE"/>
    <w:multiLevelType w:val="hybridMultilevel"/>
    <w:lvl w:ilvl="0">
      <w:lvlJc w:val="left"/>
      <w:lvlText w:val="(%1)"/>
      <w:numFmt w:val="lowerLetter"/>
      <w:start w:val="23"/>
    </w:lvl>
  </w:abstractNum>
  <w:abstractNum w:abstractNumId="16">
    <w:nsid w:val="235BA861"/>
    <w:multiLevelType w:val="hybridMultilevel"/>
    <w:lvl w:ilvl="0">
      <w:lvlJc w:val="left"/>
      <w:lvlText w:val="(%1)"/>
      <w:numFmt w:val="lowerLetter"/>
      <w:start w:val="27"/>
    </w:lvl>
  </w:abstractNum>
  <w:abstractNum w:abstractNumId="17">
    <w:nsid w:val="47398C89"/>
    <w:multiLevelType w:val="hybridMultilevel"/>
    <w:lvl w:ilvl="0">
      <w:lvlJc w:val="left"/>
      <w:lvlText w:val="(%1)"/>
      <w:numFmt w:val="lowerLetter"/>
      <w:start w:val="28"/>
    </w:lvl>
  </w:abstractNum>
  <w:abstractNum w:abstractNumId="18">
    <w:nsid w:val="354FE9F9"/>
    <w:multiLevelType w:val="hybridMultilevel"/>
    <w:lvl w:ilvl="0">
      <w:lvlJc w:val="left"/>
      <w:lvlText w:val="(%1)"/>
      <w:numFmt w:val="lowerLetter"/>
      <w:start w:val="31"/>
    </w:lvl>
  </w:abstractNum>
  <w:abstractNum w:abstractNumId="19">
    <w:nsid w:val="15B5AF5C"/>
    <w:multiLevelType w:val="hybridMultilevel"/>
    <w:lvl w:ilvl="0">
      <w:lvlJc w:val="left"/>
      <w:lvlText w:val="(%1)"/>
      <w:numFmt w:val="lowerLetter"/>
      <w:start w:val="34"/>
    </w:lvl>
  </w:abstractNum>
  <w:abstractNum w:abstractNumId="20">
    <w:nsid w:val="741226BB"/>
    <w:multiLevelType w:val="hybridMultilevel"/>
    <w:lvl w:ilvl="0">
      <w:lvlJc w:val="left"/>
      <w:lvlText w:val="(%1)"/>
      <w:numFmt w:val="lowerLetter"/>
      <w:start w:val="38"/>
    </w:lvl>
  </w:abstractNum>
  <w:abstractNum w:abstractNumId="21">
    <w:nsid w:val="D34B6A8"/>
    <w:multiLevelType w:val="hybridMultilevel"/>
    <w:lvl w:ilvl="0">
      <w:lvlJc w:val="left"/>
      <w:lvlText w:val="(%1)"/>
      <w:numFmt w:val="lowerLetter"/>
      <w:start w:val="43"/>
    </w:lvl>
  </w:abstractNum>
  <w:abstractNum w:abstractNumId="22">
    <w:nsid w:val="10233C99"/>
    <w:multiLevelType w:val="hybridMultilevel"/>
    <w:lvl w:ilvl="0">
      <w:lvlJc w:val="left"/>
      <w:lvlText w:val="%1."/>
      <w:numFmt w:val="decimal"/>
      <w:start w:val="4"/>
    </w:lvl>
  </w:abstractNum>
  <w:abstractNum w:abstractNumId="23">
    <w:nsid w:val="3F6AB60F"/>
    <w:multiLevelType w:val="hybridMultilevel"/>
    <w:lvl w:ilvl="0">
      <w:lvlJc w:val="left"/>
      <w:lvlText w:val="(%1)"/>
      <w:numFmt w:val="lowerLetter"/>
      <w:start w:val="1"/>
    </w:lvl>
  </w:abstractNum>
  <w:abstractNum w:abstractNumId="24">
    <w:nsid w:val="61574095"/>
    <w:multiLevelType w:val="hybridMultilevel"/>
    <w:lvl w:ilvl="0">
      <w:lvlJc w:val="left"/>
      <w:lvlText w:val="%1"/>
      <w:numFmt w:val="lowerRoman"/>
      <w:start w:val="1"/>
    </w:lvl>
    <w:lvl w:ilvl="1">
      <w:lvlJc w:val="left"/>
      <w:lvlText w:val="(%2)"/>
      <w:numFmt w:val="lowerLetter"/>
      <w:start w:val="4"/>
    </w:lvl>
  </w:abstractNum>
  <w:abstractNum w:abstractNumId="25">
    <w:nsid w:val="7E0C57B1"/>
    <w:multiLevelType w:val="hybridMultilevel"/>
    <w:lvl w:ilvl="0">
      <w:lvlJc w:val="left"/>
      <w:lvlText w:val="(%1)"/>
      <w:numFmt w:val="lowerRoman"/>
      <w:start w:val="8"/>
    </w:lvl>
    <w:lvl w:ilvl="1">
      <w:lvlJc w:val="left"/>
      <w:lvlText w:val="(%2)"/>
      <w:numFmt w:val="lowerLetter"/>
      <w:start w:val="6"/>
    </w:lvl>
  </w:abstractNum>
  <w:abstractNum w:abstractNumId="26">
    <w:nsid w:val="77AE35EB"/>
    <w:multiLevelType w:val="hybridMultilevel"/>
    <w:lvl w:ilvl="0">
      <w:lvlJc w:val="left"/>
      <w:lvlText w:val="%1"/>
      <w:numFmt w:val="lowerLetter"/>
      <w:start w:val="1"/>
    </w:lvl>
    <w:lvl w:ilvl="1">
      <w:lvlJc w:val="left"/>
      <w:lvlText w:val="(%2)"/>
      <w:numFmt w:val="lowerLetter"/>
      <w:start w:val="7"/>
    </w:lvl>
  </w:abstractNum>
  <w:abstractNum w:abstractNumId="27">
    <w:nsid w:val="579BE4F1"/>
    <w:multiLevelType w:val="hybridMultilevel"/>
    <w:lvl w:ilvl="0">
      <w:lvlJc w:val="left"/>
      <w:lvlText w:val="(%1)"/>
      <w:numFmt w:val="lowerLetter"/>
      <w:start w:val="35"/>
    </w:lvl>
    <w:lvl w:ilvl="1">
      <w:lvlJc w:val="left"/>
      <w:lvlText w:val="%2"/>
      <w:numFmt w:val="lowerLetter"/>
      <w:start w:val="1"/>
    </w:lvl>
  </w:abstractNum>
  <w:abstractNum w:abstractNumId="28">
    <w:nsid w:val="310C50B3"/>
    <w:multiLevelType w:val="hybridMultilevel"/>
    <w:lvl w:ilvl="0">
      <w:lvlJc w:val="left"/>
      <w:lvlText w:val="(%1)"/>
      <w:numFmt w:val="lowerLetter"/>
      <w:start w:val="10"/>
    </w:lvl>
  </w:abstractNum>
  <w:abstractNum w:abstractNumId="29">
    <w:nsid w:val="5FF87E05"/>
    <w:multiLevelType w:val="hybridMultilevel"/>
    <w:lvl w:ilvl="0">
      <w:lvlJc w:val="left"/>
      <w:lvlText w:val="%1."/>
      <w:numFmt w:val="decimal"/>
      <w:start w:val="5"/>
    </w:lvl>
  </w:abstractNum>
  <w:abstractNum w:abstractNumId="30">
    <w:nsid w:val="2F305DEF"/>
    <w:multiLevelType w:val="hybridMultilevel"/>
    <w:lvl w:ilvl="0">
      <w:lvlJc w:val="left"/>
      <w:lvlText w:val="(%1)"/>
      <w:numFmt w:val="lowerLetter"/>
      <w:start w:val="1"/>
    </w:lvl>
  </w:abstractNum>
  <w:abstractNum w:abstractNumId="31">
    <w:nsid w:val="25A70BF7"/>
    <w:multiLevelType w:val="hybridMultilevel"/>
    <w:lvl w:ilvl="0">
      <w:lvlJc w:val="left"/>
      <w:lvlText w:val="%1."/>
      <w:numFmt w:val="decimal"/>
      <w:start w:val="6"/>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3"/>
    </w:lvl>
  </w:abstractNum>
  <w:abstractNum w:abstractNumId="34">
    <w:nsid w:val="1F48EAA1"/>
    <w:multiLevelType w:val="hybridMultilevel"/>
    <w:lvl w:ilvl="0">
      <w:lvlJc w:val="left"/>
      <w:lvlText w:val="(%1)"/>
      <w:numFmt w:val="lowerLetter"/>
      <w:start w:val="9"/>
    </w:lvl>
  </w:abstractNum>
  <w:abstractNum w:abstractNumId="35">
    <w:nsid w:val="1381823A"/>
    <w:multiLevelType w:val="hybridMultilevel"/>
    <w:lvl w:ilvl="0">
      <w:lvlJc w:val="left"/>
      <w:lvlText w:val="%1."/>
      <w:numFmt w:val="decimal"/>
      <w:start w:val="7"/>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1)"/>
      <w:numFmt w:val="lowerLetter"/>
      <w:start w:val="3"/>
    </w:lvl>
  </w:abstractNum>
  <w:abstractNum w:abstractNumId="38">
    <w:nsid w:val="6590700B"/>
    <w:multiLevelType w:val="hybridMultilevel"/>
    <w:lvl w:ilvl="0">
      <w:lvlJc w:val="left"/>
      <w:lvlText w:val="(%1)"/>
      <w:numFmt w:val="lowerLetter"/>
      <w:start w:val="6"/>
    </w:lvl>
  </w:abstractNum>
  <w:abstractNum w:abstractNumId="39">
    <w:nsid w:val="15014ACB"/>
    <w:multiLevelType w:val="hybridMultilevel"/>
    <w:lvl w:ilvl="0">
      <w:lvlJc w:val="left"/>
      <w:lvlText w:val="%1."/>
      <w:numFmt w:val="decimal"/>
      <w:start w:val="8"/>
    </w:lvl>
  </w:abstractNum>
  <w:abstractNum w:abstractNumId="40">
    <w:nsid w:val="5F5E7FD0"/>
    <w:multiLevelType w:val="hybridMultilevel"/>
    <w:lvl w:ilvl="0">
      <w:lvlJc w:val="left"/>
      <w:lvlText w:val="(%1)"/>
      <w:numFmt w:val="lowerLetter"/>
      <w:start w:val="1"/>
    </w:lvl>
  </w:abstractNum>
  <w:abstractNum w:abstractNumId="41">
    <w:nsid w:val="98A3148"/>
    <w:multiLevelType w:val="hybridMultilevel"/>
    <w:lvl w:ilvl="0">
      <w:lvlJc w:val="left"/>
      <w:lvlText w:val="(%1)"/>
      <w:numFmt w:val="lowerLetter"/>
      <w:start w:val="2"/>
    </w:lvl>
  </w:abstractNum>
  <w:abstractNum w:abstractNumId="42">
    <w:nsid w:val="799D0247"/>
    <w:multiLevelType w:val="hybridMultilevel"/>
    <w:lvl w:ilvl="0">
      <w:lvlJc w:val="left"/>
      <w:lvlText w:val="%1."/>
      <w:numFmt w:val="decimal"/>
      <w:start w:val="11"/>
    </w:lvl>
  </w:abstractNum>
  <w:abstractNum w:abstractNumId="43">
    <w:nsid w:val="6B94764"/>
    <w:multiLevelType w:val="hybridMultilevel"/>
    <w:lvl w:ilvl="0">
      <w:lvlJc w:val="left"/>
      <w:lvlText w:val="(%1)"/>
      <w:numFmt w:val="lowerLetter"/>
      <w:start w:val="1"/>
    </w:lvl>
  </w:abstractNum>
  <w:abstractNum w:abstractNumId="44">
    <w:nsid w:val="42C296BD"/>
    <w:multiLevelType w:val="hybridMultilevel"/>
    <w:lvl w:ilvl="0">
      <w:lvlJc w:val="left"/>
      <w:lvlText w:val="(%1)"/>
      <w:numFmt w:val="lowerLetter"/>
      <w:start w:val="2"/>
    </w:lvl>
  </w:abstractNum>
  <w:abstractNum w:abstractNumId="45">
    <w:nsid w:val="168E121F"/>
    <w:multiLevelType w:val="hybridMultilevel"/>
    <w:lvl w:ilvl="0">
      <w:lvlJc w:val="left"/>
      <w:lvlText w:val="%1."/>
      <w:numFmt w:val="decimal"/>
      <w:start w:val="12"/>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1."/>
      <w:numFmt w:val="decimal"/>
      <w:start w:val="17"/>
    </w:lvl>
  </w:abstractNum>
  <w:abstractNum w:abstractNumId="48">
    <w:nsid w:val="5DC79EA8"/>
    <w:multiLevelType w:val="hybridMultilevel"/>
    <w:lvl w:ilvl="0">
      <w:lvlJc w:val="left"/>
      <w:lvlText w:val="%1"/>
      <w:numFmt w:val="decimal"/>
      <w:start w:val="1"/>
    </w:lvl>
    <w:lvl w:ilvl="1">
      <w:lvlJc w:val="left"/>
      <w:lvlText w:val="(%2)"/>
      <w:numFmt w:val="lowerLetter"/>
      <w:start w:val="1"/>
    </w:lvl>
  </w:abstractNum>
  <w:abstractNum w:abstractNumId="49">
    <w:nsid w:val="540A471C"/>
    <w:multiLevelType w:val="hybridMultilevel"/>
    <w:lvl w:ilvl="0">
      <w:lvlJc w:val="left"/>
      <w:lvlText w:val="(%1)"/>
      <w:numFmt w:val="decimal"/>
      <w:start w:val="510"/>
    </w:lvl>
    <w:lvl w:ilvl="1">
      <w:lvlJc w:val="left"/>
      <w:lvlText w:val="(%2)"/>
      <w:numFmt w:val="lowerLetter"/>
      <w:start w:val="2"/>
    </w:lvl>
  </w:abstractNum>
  <w:abstractNum w:abstractNumId="50">
    <w:nsid w:val="7BD3EE7B"/>
    <w:multiLevelType w:val="hybridMultilevel"/>
    <w:lvl w:ilvl="0">
      <w:lvlJc w:val="left"/>
      <w:lvlText w:val="(%1)"/>
      <w:numFmt w:val="lowerLetter"/>
      <w:start w:val="4"/>
    </w:lvl>
  </w:abstractNum>
  <w:abstractNum w:abstractNumId="51">
    <w:nsid w:val="51D9C564"/>
    <w:multiLevelType w:val="hybridMultilevel"/>
    <w:lvl w:ilvl="0">
      <w:lvlJc w:val="left"/>
      <w:lvlText w:val="%1."/>
      <w:numFmt w:val="lowerLetter"/>
      <w:start w:val="1"/>
    </w:lvl>
  </w:abstractNum>
  <w:abstractNum w:abstractNumId="52">
    <w:nsid w:val="613EFDC5"/>
    <w:multiLevelType w:val="hybridMultilevel"/>
    <w:lvl w:ilvl="0">
      <w:lvlJc w:val="left"/>
      <w:lvlText w:val="(%1)"/>
      <w:numFmt w:val="decimal"/>
      <w:start w:val="2"/>
    </w:lvl>
    <w:lvl w:ilvl="1">
      <w:lvlJc w:val="left"/>
      <w:lvlText w:val="%2"/>
      <w:numFmt w:val="lowerLetter"/>
      <w:start w:val="1"/>
    </w:lvl>
  </w:abstractNum>
  <w:abstractNum w:abstractNumId="53">
    <w:nsid w:val="BF72B14"/>
    <w:multiLevelType w:val="hybridMultilevel"/>
    <w:lvl w:ilvl="0">
      <w:lvlJc w:val="left"/>
      <w:lvlText w:val="(%1)"/>
      <w:numFmt w:val="decimal"/>
      <w:start w:val="4"/>
    </w:lvl>
    <w:lvl w:ilvl="1">
      <w:lvlJc w:val="left"/>
      <w:lvlText w:val="(%2)"/>
      <w:numFmt w:val="lowerLetter"/>
      <w:start w:val="1"/>
    </w:lvl>
  </w:abstractNum>
  <w:abstractNum w:abstractNumId="54">
    <w:nsid w:val="11447B73"/>
    <w:multiLevelType w:val="hybridMultilevel"/>
    <w:lvl w:ilvl="0">
      <w:lvlJc w:val="left"/>
      <w:lvlText w:val="(%1)"/>
      <w:numFmt w:val="lowerLetter"/>
      <w:start w:val="2"/>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lowerLetter"/>
      <w:start w:val="10"/>
    </w:lvl>
  </w:abstractNum>
  <w:abstractNum w:abstractNumId="57">
    <w:nsid w:val="8F2B15E"/>
    <w:multiLevelType w:val="hybridMultilevel"/>
    <w:lvl w:ilvl="0">
      <w:lvlJc w:val="left"/>
      <w:lvlText w:val="(%1)"/>
      <w:numFmt w:val="lowerLetter"/>
      <w:start w:val="1"/>
    </w:lvl>
  </w:abstractNum>
  <w:abstractNum w:abstractNumId="58">
    <w:nsid w:val="1A32234B"/>
    <w:multiLevelType w:val="hybridMultilevel"/>
    <w:lvl w:ilvl="0">
      <w:lvlJc w:val="left"/>
      <w:lvlText w:val="(%1)"/>
      <w:numFmt w:val="lowerLetter"/>
      <w:start w:val="3"/>
    </w:lvl>
  </w:abstractNum>
  <w:abstractNum w:abstractNumId="59">
    <w:nsid w:val="3B0FD379"/>
    <w:multiLevelType w:val="hybridMultilevel"/>
    <w:lvl w:ilvl="0">
      <w:lvlJc w:val="left"/>
      <w:lvlText w:val="(%1)"/>
      <w:numFmt w:val="lowerLetter"/>
      <w:start w:val="4"/>
    </w:lvl>
  </w:abstractNum>
  <w:abstractNum w:abstractNumId="60">
    <w:nsid w:val="68EB2F63"/>
    <w:multiLevelType w:val="hybridMultilevel"/>
    <w:lvl w:ilvl="0">
      <w:lvlJc w:val="left"/>
      <w:lvlText w:val="(%1)"/>
      <w:numFmt w:val="lowerLetter"/>
      <w:start w:val="5"/>
    </w:lvl>
  </w:abstractNum>
  <w:abstractNum w:abstractNumId="61">
    <w:nsid w:val="4962813B"/>
    <w:multiLevelType w:val="hybridMultilevel"/>
    <w:lvl w:ilvl="0">
      <w:lvlJc w:val="left"/>
      <w:lvlText w:val="(%1)"/>
      <w:numFmt w:val="lowerLetter"/>
      <w:start w:val="35"/>
    </w:lvl>
  </w:abstractNum>
  <w:abstractNum w:abstractNumId="62">
    <w:nsid w:val="60B6DF70"/>
    <w:multiLevelType w:val="hybridMultilevel"/>
    <w:lvl w:ilvl="0">
      <w:lvlJc w:val="left"/>
      <w:lvlText w:val="(%1)"/>
      <w:numFmt w:val="lowerLetter"/>
      <w:start w:val="1"/>
    </w:lvl>
  </w:abstractNum>
  <w:abstractNum w:abstractNumId="63">
    <w:nsid w:val="6A5EE64"/>
    <w:multiLevelType w:val="hybridMultilevel"/>
    <w:lvl w:ilvl="0">
      <w:lvlJc w:val="left"/>
      <w:lvlText w:val="(%1)"/>
      <w:numFmt w:val="lowerLetter"/>
      <w:start w:val="3"/>
    </w:lvl>
  </w:abstractNum>
  <w:abstractNum w:abstractNumId="64">
    <w:nsid w:val="14330624"/>
    <w:multiLevelType w:val="hybridMultilevel"/>
    <w:lvl w:ilvl="0">
      <w:lvlJc w:val="left"/>
      <w:lvlText w:val="(%1)"/>
      <w:numFmt w:val="lowerLetter"/>
      <w:start w:val="35"/>
    </w:lvl>
  </w:abstractNum>
  <w:abstractNum w:abstractNumId="65">
    <w:nsid w:val="7FFFCA11"/>
    <w:multiLevelType w:val="hybridMultilevel"/>
    <w:lvl w:ilvl="0">
      <w:lvlJc w:val="left"/>
      <w:lvlText w:val="(%1)"/>
      <w:numFmt w:val="lowerLetter"/>
      <w:start w:val="5"/>
    </w:lvl>
  </w:abstractNum>
  <w:abstractNum w:abstractNumId="66">
    <w:nsid w:val="1A27709E"/>
    <w:multiLevelType w:val="hybridMultilevel"/>
    <w:lvl w:ilvl="0">
      <w:lvlJc w:val="left"/>
      <w:lvlText w:val="(%1)"/>
      <w:numFmt w:val="lowerLetter"/>
      <w:start w:val="1"/>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1)"/>
      <w:numFmt w:val="lowerLetter"/>
      <w:start w:val="4"/>
    </w:lvl>
  </w:abstractNum>
  <w:abstractNum w:abstractNumId="69">
    <w:nsid w:val="7FB7E0AA"/>
    <w:multiLevelType w:val="hybridMultilevel"/>
    <w:lvl w:ilvl="0">
      <w:lvlJc w:val="left"/>
      <w:lvlText w:val="(%1)"/>
      <w:numFmt w:val="lowerLetter"/>
      <w:start w:val="8"/>
    </w:lvl>
  </w:abstractNum>
  <w:abstractNum w:abstractNumId="70">
    <w:nsid w:val="6EB5BD4"/>
    <w:multiLevelType w:val="hybridMultilevel"/>
    <w:lvl w:ilvl="0">
      <w:lvlJc w:val="left"/>
      <w:lvlText w:val="(%1)"/>
      <w:numFmt w:val="lowerLetter"/>
      <w:start w:val="13"/>
    </w:lvl>
  </w:abstractNum>
  <w:abstractNum w:abstractNumId="71">
    <w:nsid w:val="6F6DD9AC"/>
    <w:multiLevelType w:val="hybridMultilevel"/>
    <w:lvl w:ilvl="0">
      <w:lvlJc w:val="left"/>
      <w:lvlText w:val="(%1)"/>
      <w:numFmt w:val="decimal"/>
      <w:start w:val="2"/>
    </w:lvl>
    <w:lvl w:ilvl="1">
      <w:lvlJc w:val="left"/>
      <w:lvlText w:val="☐"/>
      <w:numFmt w:val="bullet"/>
      <w:start w:val="1"/>
    </w:lvl>
  </w:abstractNum>
  <w:abstractNum w:abstractNumId="72">
    <w:nsid w:val="94211F2"/>
    <w:multiLevelType w:val="hybridMultilevel"/>
    <w:lvl w:ilvl="0">
      <w:lvlJc w:val="left"/>
      <w:lvlText w:val="(%1)"/>
      <w:numFmt w:val="lowerLetter"/>
      <w:start w:val="1"/>
    </w:lvl>
  </w:abstractNum>
  <w:abstractNum w:abstractNumId="73">
    <w:nsid w:val="885E1B"/>
    <w:multiLevelType w:val="hybridMultilevel"/>
    <w:lvl w:ilvl="0">
      <w:lvlJc w:val="left"/>
      <w:lvlText w:val="(%1)"/>
      <w:numFmt w:val="lowerLetter"/>
      <w:start w:val="5"/>
    </w:lvl>
  </w:abstractNum>
  <w:abstractNum w:abstractNumId="74">
    <w:nsid w:val="76272110"/>
    <w:multiLevelType w:val="hybridMultilevel"/>
    <w:lvl w:ilvl="0">
      <w:lvlJc w:val="left"/>
      <w:lvlText w:val="(%1)"/>
      <w:numFmt w:val="lowerLetter"/>
      <w:start w:val="1"/>
    </w:lvl>
    <w:lvl w:ilvl="1">
      <w:lvlJc w:val="left"/>
      <w:lvlText w:val="(%2)"/>
      <w:numFmt w:val="lowerLetter"/>
      <w:start w:val="9"/>
    </w:lvl>
  </w:abstractNum>
  <w:abstractNum w:abstractNumId="75">
    <w:nsid w:val="4C04A8AF"/>
    <w:multiLevelType w:val="hybridMultilevel"/>
    <w:lvl w:ilvl="0">
      <w:lvlJc w:val="left"/>
      <w:lvlText w:val="%1"/>
      <w:numFmt w:val="decimal"/>
      <w:start w:val="1"/>
    </w:lvl>
    <w:lvl w:ilvl="1">
      <w:lvlJc w:val="left"/>
      <w:lvlText w:val="(%2)"/>
      <w:numFmt w:val="lowerRoman"/>
      <w:start w:val="2"/>
    </w:lvl>
  </w:abstractNum>
  <w:abstractNum w:abstractNumId="76">
    <w:nsid w:val="1716703B"/>
    <w:multiLevelType w:val="hybridMultilevel"/>
    <w:lvl w:ilvl="0">
      <w:lvlJc w:val="left"/>
      <w:lvlText w:val="(%1)"/>
      <w:numFmt w:val="decimal"/>
      <w:start w:val="1"/>
    </w:lvl>
    <w:lvl w:ilvl="1">
      <w:lvlJc w:val="left"/>
      <w:lvlText w:val="(%2)"/>
      <w:numFmt w:val="lowerRoman"/>
      <w:start w:val="4"/>
    </w:lvl>
  </w:abstractNum>
  <w:abstractNum w:abstractNumId="77">
    <w:nsid w:val="14E17E33"/>
    <w:multiLevelType w:val="hybridMultilevel"/>
    <w:lvl w:ilvl="0">
      <w:lvlJc w:val="left"/>
      <w:lvlText w:val="%1"/>
      <w:numFmt w:val="lowerLetter"/>
      <w:start w:val="1"/>
    </w:lvl>
    <w:lvl w:ilvl="1">
      <w:lvlJc w:val="left"/>
      <w:lvlText w:val="(%2)"/>
      <w:numFmt w:val="lowerRoman"/>
      <w:start w:val="5"/>
    </w:lvl>
  </w:abstractNum>
  <w:abstractNum w:abstractNumId="78">
    <w:nsid w:val="3222E7CD"/>
    <w:multiLevelType w:val="hybridMultilevel"/>
    <w:lvl w:ilvl="0">
      <w:lvlJc w:val="left"/>
      <w:lvlText w:val="(%1)"/>
      <w:numFmt w:val="lowerLetter"/>
      <w:start w:val="4"/>
    </w:lvl>
    <w:lvl w:ilvl="1">
      <w:lvlJc w:val="left"/>
      <w:lvlText w:val="%2"/>
      <w:numFmt w:val="lowerRoman"/>
      <w:start w:val="1"/>
    </w:lvl>
  </w:abstractNum>
  <w:abstractNum w:abstractNumId="79">
    <w:nsid w:val="74DE0EE3"/>
    <w:multiLevelType w:val="hybridMultilevel"/>
    <w:lvl w:ilvl="0">
      <w:lvlJc w:val="left"/>
      <w:lvlText w:val="(%1)"/>
      <w:numFmt w:val="lowerLetter"/>
      <w:start w:val="5"/>
    </w:lvl>
  </w:abstractNum>
  <w:abstractNum w:abstractNumId="80">
    <w:nsid w:val="68EBC550"/>
    <w:multiLevelType w:val="hybridMultilevel"/>
    <w:lvl w:ilvl="0">
      <w:lvlJc w:val="left"/>
      <w:lvlText w:val="%1"/>
      <w:numFmt w:val="lowerLetter"/>
      <w:start w:val="1"/>
    </w:lvl>
    <w:lvl w:ilvl="1">
      <w:lvlJc w:val="left"/>
      <w:lvlText w:val="(%2)"/>
      <w:numFmt w:val="lowerLetter"/>
      <w:start w:val="6"/>
    </w:lvl>
  </w:abstractNum>
  <w:abstractNum w:abstractNumId="81">
    <w:nsid w:val="2DF6D648"/>
    <w:multiLevelType w:val="hybridMultilevel"/>
    <w:lvl w:ilvl="0">
      <w:lvlJc w:val="left"/>
      <w:lvlText w:val="(%1)"/>
      <w:numFmt w:val="lowerLetter"/>
      <w:start w:val="9"/>
    </w:lvl>
    <w:lvl w:ilvl="1">
      <w:lvlJc w:val="left"/>
      <w:lvlText w:val="%2"/>
      <w:numFmt w:val="lowerLetter"/>
      <w:start w:val="1"/>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3"/>
    </w:lvl>
  </w:abstractNum>
  <w:abstractNum w:abstractNumId="84">
    <w:nsid w:val="39EE015C"/>
    <w:multiLevelType w:val="hybridMultilevel"/>
    <w:lvl w:ilvl="0">
      <w:lvlJc w:val="left"/>
      <w:lvlText w:val="(%1)"/>
      <w:numFmt w:val="lowerLetter"/>
      <w:start w:val="4"/>
    </w:lvl>
  </w:abstractNum>
  <w:abstractNum w:abstractNumId="85">
    <w:nsid w:val="57FC4FBB"/>
    <w:multiLevelType w:val="hybridMultilevel"/>
    <w:lvl w:ilvl="0">
      <w:lvlJc w:val="left"/>
      <w:lvlText w:val="(%1)"/>
      <w:numFmt w:val="lowerLetter"/>
      <w:start w:val="5"/>
    </w:lvl>
  </w:abstractNum>
  <w:abstractNum w:abstractNumId="86">
    <w:nsid w:val="CC1016F"/>
    <w:multiLevelType w:val="hybridMultilevel"/>
    <w:lvl w:ilvl="0">
      <w:lvlJc w:val="left"/>
      <w:lvlText w:val="(%1)"/>
      <w:numFmt w:val="lowerLetter"/>
      <w:start w:val="1"/>
    </w:lvl>
  </w:abstractNum>
  <w:abstractNum w:abstractNumId="87">
    <w:nsid w:val="43F18422"/>
    <w:multiLevelType w:val="hybridMultilevel"/>
    <w:lvl w:ilvl="0">
      <w:lvlJc w:val="left"/>
      <w:lvlText w:val="(%1)"/>
      <w:numFmt w:val="lowerLetter"/>
      <w:start w:val="2"/>
    </w:lvl>
  </w:abstractNum>
  <w:abstractNum w:abstractNumId="88">
    <w:nsid w:val="60EF0119"/>
    <w:multiLevelType w:val="hybridMultilevel"/>
    <w:lvl w:ilvl="0">
      <w:lvlJc w:val="left"/>
      <w:lvlText w:val="(%1)"/>
      <w:numFmt w:val="lowerLetter"/>
      <w:start w:val="1"/>
    </w:lvl>
  </w:abstractNum>
  <w:abstractNum w:abstractNumId="89">
    <w:nsid w:val="26F324BA"/>
    <w:multiLevelType w:val="hybridMultilevel"/>
    <w:lvl w:ilvl="0">
      <w:lvlJc w:val="left"/>
      <w:lvlText w:val="%1"/>
      <w:numFmt w:val="lowerLetter"/>
      <w:start w:val="1"/>
    </w:lvl>
    <w:lvl w:ilvl="1">
      <w:lvlJc w:val="left"/>
      <w:lvlText w:val="(%2)"/>
      <w:numFmt w:val="lowerLetter"/>
      <w:start w:val="4"/>
    </w:lvl>
  </w:abstractNum>
  <w:abstractNum w:abstractNumId="90">
    <w:nsid w:val="7F01579B"/>
    <w:multiLevelType w:val="hybridMultilevel"/>
    <w:lvl w:ilvl="0">
      <w:lvlJc w:val="left"/>
      <w:lvlText w:val="(%1)"/>
      <w:numFmt w:val="lowerLetter"/>
      <w:start w:val="9"/>
    </w:lvl>
    <w:lvl w:ilvl="1">
      <w:lvlJc w:val="left"/>
      <w:lvlText w:val="(%2)"/>
      <w:numFmt w:val="lowerLetter"/>
      <w:start w:val="5"/>
    </w:lvl>
  </w:abstractNum>
  <w:abstractNum w:abstractNumId="91">
    <w:nsid w:val="49DA307D"/>
    <w:multiLevelType w:val="hybridMultilevel"/>
    <w:lvl w:ilvl="0">
      <w:lvlJc w:val="left"/>
      <w:lvlText w:val="(%1)"/>
      <w:numFmt w:val="lowerLetter"/>
      <w:start w:val="7"/>
    </w:lvl>
    <w:lvl w:ilvl="1">
      <w:lvlJc w:val="left"/>
      <w:lvlText w:val="(%2)"/>
      <w:numFmt w:val="lowerLetter"/>
      <w:start w:val="9"/>
    </w:lvl>
  </w:abstractNum>
  <w:abstractNum w:abstractNumId="92">
    <w:nsid w:val="7055A5F5"/>
    <w:multiLevelType w:val="hybridMultilevel"/>
    <w:lvl w:ilvl="0">
      <w:lvlJc w:val="left"/>
      <w:lvlText w:val="(%1)"/>
      <w:numFmt w:val="lowerRoman"/>
      <w:start w:val="2"/>
    </w:lvl>
  </w:abstractNum>
  <w:abstractNum w:abstractNumId="93">
    <w:nsid w:val="5FB8370B"/>
    <w:multiLevelType w:val="hybridMultilevel"/>
    <w:lvl w:ilvl="0">
      <w:lvlJc w:val="left"/>
      <w:lvlText w:val="(%1)"/>
      <w:numFmt w:val="lowerLetter"/>
      <w:start w:val="8"/>
    </w:lvl>
  </w:abstractNum>
  <w:abstractNum w:abstractNumId="94">
    <w:nsid w:val="50801EE1"/>
    <w:multiLevelType w:val="hybridMultilevel"/>
    <w:lvl w:ilvl="0">
      <w:lvlJc w:val="left"/>
      <w:lvlText w:val="(%1)"/>
      <w:numFmt w:val="lowerLetter"/>
      <w:start w:val="13"/>
    </w:lvl>
  </w:abstractNum>
  <w:abstractNum w:abstractNumId="95">
    <w:nsid w:val="488AC1A"/>
    <w:multiLevelType w:val="hybridMultilevel"/>
    <w:lvl w:ilvl="0">
      <w:lvlJc w:val="left"/>
      <w:lvlText w:val="(%1)"/>
      <w:numFmt w:val="decimal"/>
      <w:start w:val="2"/>
    </w:lvl>
    <w:lvl w:ilvl="1">
      <w:lvlJc w:val="left"/>
      <w:lvlText w:val="☐"/>
      <w:numFmt w:val="bullet"/>
      <w:start w:val="1"/>
    </w:lvl>
  </w:abstractNum>
  <w:abstractNum w:abstractNumId="96">
    <w:nsid w:val="5FB8011C"/>
    <w:multiLevelType w:val="hybridMultilevel"/>
    <w:lvl w:ilvl="0">
      <w:lvlJc w:val="left"/>
      <w:lvlText w:val="%1:"/>
      <w:numFmt w:val="upperLetter"/>
      <w:start w:val="20"/>
    </w:lvl>
  </w:abstractNum>
  <w:abstractNum w:abstractNumId="97">
    <w:nsid w:val="6AA78F7F"/>
    <w:multiLevelType w:val="hybridMultilevel"/>
    <w:lvl w:ilvl="0">
      <w:lvlJc w:val="left"/>
      <w:lvlText w:val="(%1)"/>
      <w:numFmt w:val="lowerRoman"/>
      <w:start w:val="1"/>
    </w:lvl>
  </w:abstractNum>
  <w:abstractNum w:abstractNumId="98">
    <w:nsid w:val="7672BD2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2025-05-13T16:30:03Z</dcterms:created>
  <dcterms:modified xsi:type="dcterms:W3CDTF">2025-05-13T16:30:03Z</dcterms:modified>
</cp:coreProperties>
</file>