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Davis Gregory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SANGAMO THERAPEUTICS,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501 CANAL BLVD.</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94804</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SANGAMO THERAPEUTICS,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SGMO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3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520"/>
              <w:spacing w:after="0" w:line="185" w:lineRule="exact"/>
              <w:rPr>
                <w:sz w:val="20"/>
                <w:szCs w:val="20"/>
                <w:color w:val="auto"/>
              </w:rPr>
            </w:pPr>
            <w:r>
              <w:rPr>
                <w:rFonts w:ascii="Times New Roman" w:cs="Times New Roman" w:eastAsia="Times New Roman" w:hAnsi="Times New Roman"/>
                <w:sz w:val="17"/>
                <w:szCs w:val="17"/>
                <w:color w:val="0000FF"/>
              </w:rPr>
              <w:t>Head of Research &amp; Technology</w:t>
            </w:r>
          </w:p>
        </w:tc>
        <w:tc>
          <w:tcPr>
            <w:tcW w:w="0" w:type="dxa"/>
            <w:vAlign w:val="bottom"/>
          </w:tcPr>
          <w:p>
            <w:pPr>
              <w:spacing w:after="0"/>
              <w:rPr>
                <w:sz w:val="1"/>
                <w:szCs w:val="1"/>
                <w:color w:val="auto"/>
              </w:rPr>
            </w:pPr>
          </w:p>
        </w:tc>
      </w:tr>
      <w:tr>
        <w:trPr>
          <w:trHeight w:val="226"/>
        </w:trPr>
        <w:tc>
          <w:tcPr>
            <w:tcW w:w="3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05/25/2026</w:t>
            </w:r>
          </w:p>
        </w:tc>
        <w:tc>
          <w:tcPr>
            <w:tcW w:w="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05/25/2026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1,630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0.1743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113,654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the portion of an RSU grant that vested on May 25, 2026, which were surrendered by the Reporting Person solely for mandatory tax withholding purposes using the Issuer's closing stock price on May 25, 2026 of $0.1743/share, pursuant to the terms of the 2018 EIP. This required tax withholding transaction is deemed to constitute a disposition of these shares to the Issuer for reporting purposes and does not represent a discretionary trade by the Reporting Person in the open market or otherwise.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3,031 shares from the May 25, 2026 vesting installment of the Reporting Person's February 25, 2025 RSU grant and the remaining 32,633 shares will vest in 7 successive equal quarterly installments thereafter. The vesting of all such RSU grants is subject to the Reporting Person's Continuous Service (as defined in the 2018 EIP) through each such date and subject to acceleration as provided in the 2018 EIP.</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Scott Willoughby,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1855" TargetMode="External"/><Relationship Id="rId14" Type="http://schemas.openxmlformats.org/officeDocument/2006/relationships/hyperlink" Target="http://www.sec.gov/cgi-bin/browse-edgar?action=getcompany&amp;CIK=0001001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2026-05-27T18:31:25Z</dcterms:created>
  <dcterms:modified xsi:type="dcterms:W3CDTF">2026-05-27T18:31:25Z</dcterms:modified>
</cp:coreProperties>
</file>