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4032026_040407.xml.htm"/>
      <w:bookmarkStart w:id="1" w:name="ksform404032026_0404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Davis Gregory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SANGAMO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501 CANAL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RICHMOND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94804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SANGAMO THERAPEUTICS, INC</w:t>
              </w:r>
            </w:hyperlink>
            <w:r>
              <w:rPr/>
              <w:t xml:space="preserve"> [ </w:t>
            </w:r>
            <w:r>
              <w:rPr>
                <w:rFonts w:ascii="Times;serif" w:hAnsi="Times;serif"/>
                <w:color w:val="0000FF"/>
                <w:sz w:val="24"/>
                <w:shd w:fill="FFFFFF" w:val="clear"/>
              </w:rPr>
              <w:t>SGMO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Head of Research &amp; Technology</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0.2601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One-quarter (1/4) of the shares subject to the option will vest and become exercisable on the first anniversary of the grant date, and the remainder of the shares will vest and become exercisable in 24 successive equal monthly installments thereafter, subject to the Reporting Person's Continuous Service (as defined in the 2018 EIP) through each such date and subject to acceleration as provided in the 2018 EIP.</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Scott Willoughby,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1855" TargetMode="External"/><Relationship Id="rId5" Type="http://schemas.openxmlformats.org/officeDocument/2006/relationships/hyperlink" Target="http://www.sec.gov/cgi-bin/browse-edgar?action=getcompany&amp;CIK=00010012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3480</Characters>
  <CharactersWithSpaces>4059</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