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000-30171</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5072" w:type="dxa"/>
                    <w:jc w:val="center"/>
                    <w:tblInd w:w="0" w:type="dxa"/>
                    <w:tblLayout w:type="fixed"/>
                    <w:tblCellMar>
                      <w:top w:w="28" w:type="dxa"/>
                      <w:left w:w="28" w:type="dxa"/>
                      <w:bottom w:w="28" w:type="dxa"/>
                      <w:right w:w="28" w:type="dxa"/>
                    </w:tblCellMar>
                  </w:tblPr>
                  <w:tblGrid>
                    <w:gridCol w:w="1261"/>
                    <w:gridCol w:w="381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3811" w:type="dxa"/>
                        <w:tcBorders/>
                        <w:vAlign w:val="center"/>
                      </w:tcPr>
                      <w:p>
                        <w:pPr>
                          <w:pStyle w:val="TableContents"/>
                          <w:bidi w:val="0"/>
                          <w:spacing w:before="0" w:after="283"/>
                          <w:jc w:val="left"/>
                          <w:rPr/>
                        </w:pPr>
                        <w:hyperlink r:id="rId3">
                          <w:r>
                            <w:rPr>
                              <w:rStyle w:val="InternetLink"/>
                            </w:rPr>
                            <w:t>SANGAMO THERAPEUTICS,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381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509" w:type="dxa"/>
                    <w:jc w:val="center"/>
                    <w:tblInd w:w="0" w:type="dxa"/>
                    <w:tblLayout w:type="fixed"/>
                    <w:tblCellMar>
                      <w:top w:w="28" w:type="dxa"/>
                      <w:left w:w="28" w:type="dxa"/>
                      <w:bottom w:w="28" w:type="dxa"/>
                      <w:right w:w="28" w:type="dxa"/>
                    </w:tblCellMar>
                  </w:tblPr>
                  <w:tblGrid>
                    <w:gridCol w:w="2206"/>
                    <w:gridCol w:w="1096"/>
                    <w:gridCol w:w="1591"/>
                    <w:gridCol w:w="706"/>
                    <w:gridCol w:w="109"/>
                    <w:gridCol w:w="18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5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501 Canal Boulevard</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3502"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A100</w:t>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5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94804</w:t>
                        </w:r>
                      </w:p>
                    </w:tc>
                    <w:tc>
                      <w:tcPr>
                        <w:tcW w:w="109" w:type="dxa"/>
                        <w:tcBorders/>
                      </w:tcPr>
                      <w:p>
                        <w:pPr>
                          <w:pStyle w:val="TableContents"/>
                          <w:bidi w:val="0"/>
                          <w:spacing w:before="0" w:after="283"/>
                          <w:jc w:val="left"/>
                          <w:rPr>
                            <w:sz w:val="4"/>
                            <w:szCs w:val="4"/>
                          </w:rPr>
                        </w:pPr>
                        <w:r>
                          <w:rPr>
                            <w:sz w:val="4"/>
                            <w:szCs w:val="4"/>
                          </w:rPr>
                        </w:r>
                      </w:p>
                    </w:tc>
                    <w:tc>
                      <w:tcPr>
                        <w:tcW w:w="18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502" w:type="dxa"/>
                        <w:gridSpan w:val="4"/>
                        <w:tcBorders/>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+1 510 970-6000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2026-10-06</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Aravind Menon</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Hearings Advisor</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sgmodelistreason.txt"/>
      <w:bookmarkStart w:id="6" w:name="kssgmodelistreason"/>
      <w:bookmarkEnd w:id="5"/>
      <w:bookmarkEnd w:id="6"/>
      <w:r>
        <w:rPr/>
        <w:t>Delisting Determination, The Nasdaq Stock Market, LLC, September 17, 2026</w:t>
      </w:r>
      <w:r>
        <w:br w:type="page"/>
      </w:r>
    </w:p>
    <w:p>
      <w:pPr>
        <w:pStyle w:val="PreformattedText"/>
        <w:bidi w:val="0"/>
        <w:spacing w:before="0" w:after="0"/>
        <w:jc w:val="left"/>
        <w:rPr/>
      </w:pPr>
      <w:r>
        <w:rPr/>
        <w:t>Sangamo Therapeutics, Inc.</w:t>
      </w:r>
    </w:p>
    <w:p>
      <w:pPr>
        <w:pStyle w:val="PreformattedText"/>
        <w:bidi w:val="0"/>
        <w:spacing w:before="0" w:after="0"/>
        <w:jc w:val="left"/>
        <w:rPr/>
      </w:pPr>
      <w:r>
        <w:rPr/>
        <w:t>The Nasdaq Stock Market LLC (the Exchange) has determined to remove</w:t>
      </w:r>
    </w:p>
    <w:p>
      <w:pPr>
        <w:pStyle w:val="PreformattedText"/>
        <w:bidi w:val="0"/>
        <w:spacing w:before="0" w:after="0"/>
        <w:jc w:val="left"/>
        <w:rPr/>
      </w:pPr>
      <w:r>
        <w:rPr/>
        <w:t>from listing the common stock of Sangamo Therapeutics, Inc. effective at the</w:t>
      </w:r>
    </w:p>
    <w:p>
      <w:pPr>
        <w:pStyle w:val="PreformattedText"/>
        <w:bidi w:val="0"/>
        <w:spacing w:before="0" w:after="0"/>
        <w:jc w:val="left"/>
        <w:rPr/>
      </w:pPr>
      <w:r>
        <w:rPr/>
        <w:t>opening of the trading session on October 16, 2026. Based on review</w:t>
      </w:r>
    </w:p>
    <w:p>
      <w:pPr>
        <w:pStyle w:val="PreformattedText"/>
        <w:bidi w:val="0"/>
        <w:spacing w:before="0" w:after="0"/>
        <w:jc w:val="left"/>
        <w:rPr/>
      </w:pPr>
      <w:r>
        <w:rPr/>
        <w:t>of information provided by the Company, Nasdaq Staff</w:t>
      </w:r>
    </w:p>
    <w:p>
      <w:pPr>
        <w:pStyle w:val="PreformattedText"/>
        <w:bidi w:val="0"/>
        <w:spacing w:before="0" w:after="0"/>
        <w:jc w:val="left"/>
        <w:rPr/>
      </w:pPr>
      <w:r>
        <w:rPr/>
        <w:t>determined that the Company no longer qualified for listing on the</w:t>
      </w:r>
    </w:p>
    <w:p>
      <w:pPr>
        <w:pStyle w:val="PreformattedText"/>
        <w:bidi w:val="0"/>
        <w:spacing w:before="0" w:after="0"/>
        <w:jc w:val="left"/>
        <w:rPr/>
      </w:pPr>
      <w:r>
        <w:rPr/>
        <w:t>Exchange pursuant to Listing Rule 5550(a)(2).</w:t>
      </w:r>
    </w:p>
    <w:p>
      <w:pPr>
        <w:pStyle w:val="PreformattedText"/>
        <w:bidi w:val="0"/>
        <w:spacing w:before="0" w:after="0"/>
        <w:jc w:val="left"/>
        <w:rPr/>
      </w:pPr>
      <w:r>
        <w:rPr/>
        <w:t>The Company was notified of the Staff determination on April 28, 2026.</w:t>
      </w:r>
    </w:p>
    <w:p>
      <w:pPr>
        <w:pStyle w:val="PreformattedText"/>
        <w:bidi w:val="0"/>
        <w:spacing w:before="0" w:after="0"/>
        <w:jc w:val="left"/>
        <w:rPr/>
      </w:pPr>
      <w:r>
        <w:rPr/>
        <w:t>On May 5, 2026 the Company exercised its right to appeal</w:t>
      </w:r>
    </w:p>
    <w:p>
      <w:pPr>
        <w:pStyle w:val="PreformattedText"/>
        <w:bidi w:val="0"/>
        <w:spacing w:before="0" w:after="0"/>
        <w:jc w:val="left"/>
        <w:rPr/>
      </w:pPr>
      <w:r>
        <w:rPr/>
        <w:t>the Staff determination to the Listing Qualifications Hearings</w:t>
      </w:r>
    </w:p>
    <w:p>
      <w:pPr>
        <w:pStyle w:val="PreformattedText"/>
        <w:bidi w:val="0"/>
        <w:spacing w:before="0" w:after="0"/>
        <w:jc w:val="left"/>
        <w:rPr/>
      </w:pPr>
      <w:r>
        <w:rPr/>
        <w:t>Panel (Panel) pursuant to Listing Rule 5815.</w:t>
      </w:r>
    </w:p>
    <w:p>
      <w:pPr>
        <w:pStyle w:val="PreformattedText"/>
        <w:bidi w:val="0"/>
        <w:spacing w:before="0" w:after="0"/>
        <w:jc w:val="left"/>
        <w:rPr/>
      </w:pPr>
      <w:r>
        <w:rPr/>
        <w:t>On June 9, 2026, the hearing was held.</w:t>
      </w:r>
    </w:p>
    <w:p>
      <w:pPr>
        <w:pStyle w:val="PreformattedText"/>
        <w:bidi w:val="0"/>
        <w:spacing w:before="0" w:after="0"/>
        <w:jc w:val="left"/>
        <w:rPr/>
      </w:pPr>
      <w:r>
        <w:rPr/>
        <w:t>On July 13, 2026 the Panel reached a decision</w:t>
      </w:r>
    </w:p>
    <w:p>
      <w:pPr>
        <w:pStyle w:val="PreformattedText"/>
        <w:bidi w:val="0"/>
        <w:spacing w:before="0" w:after="0"/>
        <w:jc w:val="left"/>
        <w:rPr/>
      </w:pPr>
      <w:r>
        <w:rPr/>
        <w:t>and decided to uphold the suspension of the Company from the Exchange</w:t>
      </w:r>
    </w:p>
    <w:p>
      <w:pPr>
        <w:pStyle w:val="PreformattedText"/>
        <w:bidi w:val="0"/>
        <w:spacing w:before="0" w:after="0"/>
        <w:jc w:val="left"/>
        <w:rPr/>
      </w:pPr>
      <w:r>
        <w:rPr/>
        <w:t>and a Decision letter was issued on July 14, 2026.</w:t>
      </w:r>
    </w:p>
    <w:p>
      <w:pPr>
        <w:pStyle w:val="PreformattedText"/>
        <w:bidi w:val="0"/>
        <w:spacing w:before="0" w:after="0"/>
        <w:jc w:val="left"/>
        <w:rPr/>
      </w:pPr>
      <w:r>
        <w:rPr/>
        <w:t>The Company common stock was suspended on May 5, 2026. The</w:t>
      </w:r>
    </w:p>
    <w:p>
      <w:pPr>
        <w:pStyle w:val="PreformattedText"/>
        <w:bidi w:val="0"/>
        <w:spacing w:before="0" w:after="0"/>
        <w:jc w:val="left"/>
        <w:rPr/>
      </w:pPr>
      <w:r>
        <w:rPr/>
        <w:t>Staff determination to delist the Company common stock</w:t>
      </w:r>
    </w:p>
    <w:p>
      <w:pPr>
        <w:pStyle w:val="PreformattedText"/>
        <w:bidi w:val="0"/>
        <w:spacing w:before="0" w:after="283"/>
        <w:jc w:val="left"/>
        <w:rPr/>
      </w:pPr>
      <w:r>
        <w:rPr/>
        <w:t>became final on August 28,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30171" TargetMode="External"/><Relationship Id="rId3" Type="http://schemas.openxmlformats.org/officeDocument/2006/relationships/hyperlink" Target="http://www.sec.gov/cgi-bin/browse-edgar?action=getcompany&amp;CIK=0001001233"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497</Words>
  <Characters>2674</Characters>
  <CharactersWithSpaces>3114</CharactersWithSpaces>
  <Paragraphs>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