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000-30171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68-0359556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 Number)</w:t>
      </w:r>
    </w:p>
    <w:p>
      <w:pPr>
        <w:spacing w:after="0" w:line="200" w:lineRule="exact"/>
        <w:rPr>
          <w:sz w:val="24"/>
          <w:szCs w:val="24"/>
          <w:color w:val="auto"/>
        </w:rPr>
      </w:pPr>
    </w:p>
    <w:p>
      <w:pPr>
        <w:sectPr>
          <w:pgSz w:w="11900" w:h="16838" w:orient="portrait"/>
          <w:cols w:equalWidth="0" w:num="3">
            <w:col w:w="4484" w:space="720"/>
            <w:col w:w="2860" w:space="720"/>
            <w:col w:w="2240"/>
          </w:cols>
          <w:pgMar w:left="436" w:top="376" w:right="439" w:bottom="1440"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SGMOQ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 (OTC Expert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224" w:right="100" w:hanging="224"/>
        <w:spacing w:after="0" w:line="261"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determination by the Nasdaq Stock Market LLC (“Nasdaq”) to delist the common stock of Sangamo Therapeutics, Inc. (the “Company”), the Company’s common stock was suspended from trading on Nasdaq on May 5, 2026 and currently trades on the OTC Expert Market on an unsolicited quotes only basis. On October 7, 2026, Nasdaq filed a Form 25 with the Securities and Exchange Commission to delist and deregister the Company’s common stock under Section 12(b) of the Exchange Act. The delisting became effective October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on June 23, 2026, Sangamo Therapeutics, Inc.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case is styled as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Sangamo Therapeutics, Inc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October 23, 2026, the Company filed with the Bankruptcy Court (i) an amended monthly operating report for each of the periods from</w:t>
      </w:r>
    </w:p>
    <w:p>
      <w:pPr>
        <w:spacing w:after="0" w:line="27" w:lineRule="exact"/>
        <w:rPr>
          <w:sz w:val="20"/>
          <w:szCs w:val="20"/>
          <w:color w:val="auto"/>
        </w:rPr>
      </w:pPr>
    </w:p>
    <w:p>
      <w:pPr>
        <w:ind w:left="4" w:right="60" w:hanging="4"/>
        <w:spacing w:after="0" w:line="273" w:lineRule="auto"/>
        <w:tabs>
          <w:tab w:leader="none" w:pos="24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July 1, 2026 to July 31, 2026 (the “Amended July MOR”), originally filed with the Securities and Exchange Commission (the “Commission”) on a Current Report on Form 8-K on September 8, 2026 and (b) August 1, 2026 to August 31, 2026 (the “Amended August MOR”), originally filed with the Commission on a Current Report on Form 8-K on October 15, 2026 and (ii) its monthly operating report for the period beginning September 1, 2026 and ended September 30, 2026 (the “September MOR,” together with each of the Amended July MOR and Amended August MOR, the “MORs”).</w:t>
      </w:r>
    </w:p>
    <w:p>
      <w:pPr>
        <w:spacing w:after="0" w:line="17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Current Report on Form 8-K will not be deemed an admission as to the materiality of any information required to be disclosed solely by Regulation FD. The MORs are attached hereto as Exhibit 99.1, Exhibit 99.2 and Exhibit 99.3. The MORs and additional information regarding the Chapter 11 Case is available at https://www.veritaglobal.net/SangamoTherapeutics. The documents and other information on this website are not part of this Current Report on Form 8-K and shall not be incorporated by reference.</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and in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(the “Securities Act”), or the Exchange Act, whether made before or after the date hereof and regardless of any general incorporation language in such filings, except to the extent expressly set forth by specific reference in such a filing.</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Cautionary Statement Regarding the MORs</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Company cautions investors and potential investors not to place undue reliance upon the information contained in the MORs, which were not prepared for the purpose of providing the basis for an investment decision relating to any of the securities of the Company. The MORs are limited in scope, cover a limited time period and have been prepared solely for the purpose of complying with the reporting requirements of the Bankruptcy Court. The MORs are not audited or reviewed by independent accountants, were not prepared in accordance with generally accepted accounting principles in the United States, are in a format prescribed by applicable bankruptcy laws or rules, and are subject to future adjustment and reconciliation. The MORs also contain information for periods shorter than and otherwise different from those contained in the Company’s reports required to be filed pursuant to the Exchange Act. There can be no assurance that, from the perspective of an investor or potential investor in the Company’s securities, the MORs are complete. Results set forth in the MORs should not be viewed as indicative of future results.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Cautionary Language Regarding Trading in the Company’s Common Stock</w:t>
      </w:r>
    </w:p>
    <w:p>
      <w:pPr>
        <w:spacing w:after="0" w:line="119"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Company’s stockholders are cautioned that trading in the Company’s common stock during the pendency of the Chapter 11 Case is highly speculative and poses substantial risks. The Company’s common stock has been suspended from trading on the Nasdaq Capital Market (“Nasdaq”), and following the filing of a Form 25 by Nasdaq on October 7, 2026, was delisted effective October 17, 2026. The Company’s common stock is currently trading on the OTC Expert Market on an unsolicited quotes only basis, and trading prices for the Company’s common stock may bear little or no relationship to the actual recovery, if any, by holders thereof in the Company’s Chapter 11 Case. Accordingly, the Company urges extreme caution with respect to existing and future investments in its common stock.</w:t>
      </w:r>
    </w:p>
    <w:p>
      <w:pPr>
        <w:sectPr>
          <w:pgSz w:w="11900" w:h="16838" w:orient="portrait"/>
          <w:cols w:equalWidth="0" w:num="1">
            <w:col w:w="10984"/>
          </w:cols>
          <w:pgMar w:left="436"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Language Regarding Forward-Looking Statements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that reflect, when made, the Company’s current views with respect to current events and financial performance. These forward-looking statements are within the meaning of Private Securities Litigation Reform Act of 1995. These forward-looking statements include, but are not limited to, statements regarding process and potential outcomes of the Company’s Chapter 11 Case and/or statements preceded by, followed by or that include the words “intends,” “expects,” “estimates,” “plans,” or similar expressions. Although the Company believes that the expectations reflected in such forward-looking statements are based upon reasonable assumptions, beliefs and expectations, there can be no assurance that its expectations will be achieved. Except as otherwise may be required by law, the Company undertakes no obligation to update or publicly release any revisions to forward-looking statements to reflect events, circumstances, or changes in expectations after the date of this Current Report on Form 8-K.</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Sangamo Therapeutics, Inc. Amended Monthly Operating Report for the period ended July 31, 2026.</w:t>
            </w:r>
          </w:p>
        </w:tc>
        <w:tc>
          <w:tcPr>
            <w:tcW w:w="220" w:type="dxa"/>
            <w:vAlign w:val="bottom"/>
          </w:tcPr>
          <w:p>
            <w:pPr>
              <w:spacing w:after="0"/>
              <w:rPr>
                <w:sz w:val="23"/>
                <w:szCs w:val="23"/>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Sangamo Therapeutics, Inc. Amended Monthly Operating Report for the period ended August 31, 2026.</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Sangamo Therapeutics, Inc. Monthly Operating Report for the period ended September 30, 2026.</w:t>
            </w: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00" w:type="dxa"/>
            <w:vAlign w:val="bottom"/>
            <w:gridSpan w:val="2"/>
          </w:tcPr>
          <w:p>
            <w:pPr>
              <w:spacing w:after="0"/>
              <w:rPr>
                <w:sz w:val="24"/>
                <w:szCs w:val="24"/>
                <w:color w:val="auto"/>
              </w:rPr>
            </w:pPr>
          </w:p>
        </w:tc>
      </w:tr>
    </w:tbl>
    <w:p>
      <w:pPr>
        <w:sectPr>
          <w:pgSz w:w="11900" w:h="16838" w:orient="portrait"/>
          <w:cols w:equalWidth="0" w:num="1">
            <w:col w:w="11000"/>
          </w:cols>
          <w:pgMar w:left="440" w:top="295" w:right="4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spacing w:after="0"/>
        <w:tabs>
          <w:tab w:leader="none" w:pos="5600" w:val="left"/>
          <w:tab w:leader="none" w:pos="73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B. WILLOUGHBY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Scott B. Willoughby</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700"/>
          </w:cols>
          <w:pgMar w:left="440" w:top="293" w:right="7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UNITED STATES BANKRUPTCY COURT</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DISTRICT OF DELAWARE</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Re. SANGAMO THERAPEUTICS, INC.</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Case No. 26-10989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66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Debtor(s)</w:t>
            </w: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4"/>
            <w:vMerge w:val="restart"/>
          </w:tcPr>
          <w:p>
            <w:pPr>
              <w:ind w:left="2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Jointly Administered</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Amended Monthly Operating Report</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30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Period Ended: 07/31/2026</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Petition Date:</w:t>
            </w:r>
          </w:p>
        </w:tc>
        <w:tc>
          <w:tcPr>
            <w:tcW w:w="2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xml:space="preserve">06/23/2026             </w:t>
            </w: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Pending: 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Industry Classification: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Method:</w:t>
            </w: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Accrual Basis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3"/>
            <w:vMerge w:val="restart"/>
          </w:tcPr>
          <w:p>
            <w:pPr>
              <w:ind w:left="2260"/>
              <w:spacing w:after="0"/>
              <w:rPr>
                <w:sz w:val="20"/>
                <w:szCs w:val="20"/>
                <w:color w:val="auto"/>
              </w:rPr>
            </w:pPr>
            <w:r>
              <w:rPr>
                <w:rFonts w:ascii="Times New Roman" w:cs="Times New Roman" w:eastAsia="Times New Roman" w:hAnsi="Times New Roman"/>
                <w:sz w:val="18"/>
                <w:szCs w:val="18"/>
                <w:color w:val="auto"/>
              </w:rPr>
              <w:t>Cash Basis</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Debtor’s Full-Time Employees (current):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88"/>
              </w:rPr>
              <w:t>73</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Debtor’s Full-Time Employees (as of date of order for relief):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88"/>
              </w:rPr>
              <w:t>74</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-899795</wp:posOffset>
            </wp:positionV>
            <wp:extent cx="1036955"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19748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-599440</wp:posOffset>
            </wp:positionV>
            <wp:extent cx="1543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-599440</wp:posOffset>
            </wp:positionV>
            <wp:extent cx="1460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Supporting Documentation </w:t>
      </w:r>
      <w:r>
        <w:rPr>
          <w:rFonts w:ascii="Times New Roman" w:cs="Times New Roman" w:eastAsia="Times New Roman" w:hAnsi="Times New Roman"/>
          <w:sz w:val="18"/>
          <w:szCs w:val="18"/>
          <w:color w:val="auto"/>
        </w:rPr>
        <w:t>(check all that are attached):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jointly administered debtors, any required schedules must be provided on a non-consolidated basis for each debtor)</w:t>
      </w:r>
    </w:p>
    <w:p>
      <w:pPr>
        <w:spacing w:after="0" w:line="131" w:lineRule="exact"/>
        <w:rPr>
          <w:sz w:val="20"/>
          <w:szCs w:val="20"/>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cash receipts and disbursements</w:t>
      </w:r>
    </w:p>
    <w:p>
      <w:pPr>
        <w:spacing w:after="0" w:line="29"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 sheet containing the summary and detail of the assets, liabilities and equity (net worth) or deficit</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operations (profit or loss statement)</w:t>
      </w:r>
    </w:p>
    <w:p>
      <w:pPr>
        <w:spacing w:after="0" w:line="2" w:lineRule="exact"/>
        <w:rPr>
          <w:sz w:val="20"/>
          <w:szCs w:val="20"/>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Accounts receivable aging</w:t>
      </w:r>
    </w:p>
    <w:p>
      <w:pPr>
        <w:spacing w:after="0" w:line="15"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Postpetition liabilities aging</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capital assets</w:t>
      </w:r>
    </w:p>
    <w:p>
      <w:pPr>
        <w:spacing w:after="0" w:line="9" w:lineRule="exact"/>
        <w:rPr>
          <w:rFonts w:ascii="MS PGothic" w:cs="MS PGothic" w:eastAsia="MS PGothic" w:hAnsi="MS PGothic"/>
          <w:sz w:val="18"/>
          <w:szCs w:val="18"/>
          <w:color w:val="auto"/>
        </w:rPr>
      </w:pPr>
    </w:p>
    <w:p>
      <w:pPr>
        <w:ind w:left="4" w:right="7820" w:hanging="4"/>
        <w:spacing w:after="0" w:line="216" w:lineRule="exact"/>
        <w:tabs>
          <w:tab w:leader="none" w:pos="436"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Schedule of payments to professionals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Schedule of payments to insiders</w:t>
      </w:r>
    </w:p>
    <w:p>
      <w:pPr>
        <w:ind w:left="4"/>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 bank statements and bank reconciliations for the reporting period</w:t>
      </w:r>
    </w:p>
    <w:p>
      <w:pPr>
        <w:spacing w:after="0" w:line="9" w:lineRule="exact"/>
        <w:rPr>
          <w:rFonts w:ascii="MS PGothic" w:cs="MS PGothic" w:eastAsia="MS PGothic" w:hAnsi="MS PGothic"/>
          <w:sz w:val="17"/>
          <w:szCs w:val="17"/>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Description of the assets sold or transferred and the terms of the sale or transfer</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230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31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10/23/2026</w:t>
            </w:r>
          </w:p>
        </w:tc>
        <w:tc>
          <w:tcPr>
            <w:tcW w:w="23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9"/>
        </w:trPr>
        <w:tc>
          <w:tcPr>
            <w:tcW w:w="4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501 Canal Blvd., Suite A100 Richmond, CA 94804</w:t>
            </w:r>
          </w:p>
        </w:tc>
      </w:tr>
      <w:tr>
        <w:trPr>
          <w:trHeight w:val="228"/>
        </w:trPr>
        <w:tc>
          <w:tcPr>
            <w:tcW w:w="4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r>
    </w:tbl>
    <w:p>
      <w:pPr>
        <w:spacing w:after="0" w:line="22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STATEMENT: This Periodic Report is associated with an open bankruptcy case; therefore, Paperwork Reduction Act exemption 5 C.F.R. §1320.4(a)(2) applies.</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Docket No. 537</w:t>
            </w:r>
          </w:p>
        </w:tc>
      </w:tr>
      <w:tr>
        <w:trPr>
          <w:trHeight w:val="24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376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10/23/26</w:t>
            </w:r>
          </w:p>
        </w:tc>
      </w:tr>
    </w:tbl>
    <w:p>
      <w:pPr>
        <w:sectPr>
          <w:pgSz w:w="11900" w:h="16838" w:orient="portrait"/>
          <w:cols w:equalWidth="0" w:num="1">
            <w:col w:w="11024"/>
          </w:cols>
          <w:pgMar w:left="436" w:top="117"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297"/>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1: Cash Receipts and Disbursements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158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2600" w:type="dxa"/>
            <w:vAlign w:val="bottom"/>
            <w:gridSpan w:val="4"/>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Cash balance beginning of month</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14,382,244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Total receipts (net of transfers between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18,058,990</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28,562,062</w:t>
            </w:r>
          </w:p>
        </w:tc>
      </w:tr>
      <w:tr>
        <w:trPr>
          <w:trHeight w:val="27"/>
        </w:trPr>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disbursements (net of transfers between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15,534,279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16,512,210</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balance end of month (a+b-c)</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16,906,955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1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Disbursements made by third party for the benefit of the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Total disbursements for quarterly fee calculation (c+e)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16,512,210</w:t>
            </w:r>
          </w:p>
        </w:tc>
        <w:tc>
          <w:tcPr>
            <w:tcW w:w="220" w:type="dxa"/>
            <w:vAlign w:val="bottom"/>
          </w:tcPr>
          <w:p>
            <w:pPr>
              <w:spacing w:after="0"/>
              <w:rPr>
                <w:sz w:val="19"/>
                <w:szCs w:val="19"/>
                <w:color w:val="auto"/>
              </w:rPr>
            </w:pPr>
          </w:p>
        </w:tc>
      </w:tr>
      <w:tr>
        <w:trPr>
          <w:trHeight w:val="349"/>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2: Asset and Liability Status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(Not generally applicable to Individual Debtors. See Instructions.)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3520" w:type="dxa"/>
            <w:vAlign w:val="bottom"/>
            <w:tcBorders>
              <w:top w:val="single" w:sz="8" w:color="auto"/>
            </w:tcBorders>
            <w:gridSpan w:val="5"/>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Accounts receivable (total net of allowance)</w:t>
            </w:r>
          </w:p>
        </w:tc>
        <w:tc>
          <w:tcPr>
            <w:tcW w:w="60" w:type="dxa"/>
            <w:vAlign w:val="bottom"/>
            <w:tcBorders>
              <w:top w:val="single" w:sz="8" w:color="auto"/>
            </w:tcBorders>
            <w:shd w:val="clear" w:color="auto" w:fill="CCEEFF"/>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500,160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Accounts receivable over 90 days outstanding (net of allowance)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(Book 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Market </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Other </w:t>
            </w:r>
          </w:p>
        </w:tc>
        <w:tc>
          <w:tcPr>
            <w:tcW w:w="4660" w:type="dxa"/>
            <w:vAlign w:val="bottom"/>
            <w:gridSpan w:val="2"/>
            <w:shd w:val="clear" w:color="auto" w:fill="CCEEFF"/>
          </w:tcPr>
          <w:p>
            <w:pPr>
              <w:jc w:val="right"/>
              <w:ind w:right="3020"/>
              <w:spacing w:after="0"/>
              <w:rPr>
                <w:sz w:val="20"/>
                <w:szCs w:val="20"/>
                <w:color w:val="auto"/>
              </w:rPr>
            </w:pPr>
            <w:r>
              <w:rPr>
                <w:rFonts w:ascii="Times New Roman" w:cs="Times New Roman" w:eastAsia="Times New Roman" w:hAnsi="Times New Roman"/>
                <w:sz w:val="18"/>
                <w:szCs w:val="18"/>
                <w:color w:val="auto"/>
                <w:w w:val="96"/>
              </w:rPr>
              <w:t xml:space="preserve">   (attach explanation))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20,386,655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155,117,944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5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Postpetition payables (excluding taxes)</w:t>
            </w: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18,768,593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35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Postpetition payables past due (excluding taxes)</w:t>
            </w: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Postpetition taxes payable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Postpetition taxes past due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postpetition debt (f+h)</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19,038,048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2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secured debt</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l.</w:t>
            </w: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Prepetition priority debt</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t>
            </w:r>
          </w:p>
        </w:tc>
        <w:tc>
          <w:tcPr>
            <w:tcW w:w="2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unsecured debt</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78,061,802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n.</w:t>
            </w: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liabilities (debt) (j+k+l+m)</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97,132,393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t>
            </w:r>
          </w:p>
        </w:tc>
        <w:tc>
          <w:tcPr>
            <w:tcW w:w="2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equity/net worth (e-n)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57,985,551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92"/>
        </w:trPr>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Part 3: Assets Sold or Transferred</w:t>
            </w:r>
          </w:p>
        </w:tc>
        <w:tc>
          <w:tcPr>
            <w:tcW w:w="7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7"/>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cash sales price for assets sold/transferred outside the ordinary course of business</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Total payments to third parties incident to assets being sold/transferred outside the ordinary course of business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proceeds from assets sold/transferred outside the ordinary course of business (a-b)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349"/>
        </w:trPr>
        <w:tc>
          <w:tcPr>
            <w:tcW w:w="3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Part 4: Income Statement (Statement of Operations)</w:t>
            </w: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38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(Not generally applicable to Individual Debtors. See Instructions.)</w:t>
            </w:r>
          </w:p>
        </w:tc>
        <w:tc>
          <w:tcPr>
            <w:tcW w:w="46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7"/>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Gross income/sales (net of returns and allowances)</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720,000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Cost of goods sold (inclusive of depreciation, if applicable)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(a-b)</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expenses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35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3,764,872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3,231,570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81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and/or amortization (not included in 4b)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(local, state, and federal)</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Reorganization items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(loss)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-11,165,298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-14,920,356</w:t>
            </w:r>
          </w:p>
        </w:tc>
      </w:tr>
      <w:tr>
        <w:trPr>
          <w:trHeight w:val="371"/>
        </w:trPr>
        <w:tc>
          <w:tcPr>
            <w:tcW w:w="2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920" w:type="dxa"/>
            <w:vAlign w:val="bottom"/>
          </w:tcPr>
          <w:p>
            <w:pPr>
              <w:spacing w:after="0"/>
              <w:rPr>
                <w:sz w:val="24"/>
                <w:szCs w:val="24"/>
                <w:color w:val="auto"/>
              </w:rPr>
            </w:pPr>
          </w:p>
        </w:tc>
        <w:tc>
          <w:tcPr>
            <w:tcW w:w="466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-5039995</wp:posOffset>
            </wp:positionV>
            <wp:extent cx="14541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-5039995</wp:posOffset>
            </wp:positionV>
            <wp:extent cx="1460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-5039995</wp:posOffset>
            </wp:positionV>
            <wp:extent cx="1543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Case No. 26-10989</w:t>
            </w:r>
          </w:p>
        </w:tc>
        <w:tc>
          <w:tcPr>
            <w:tcW w:w="0" w:type="dxa"/>
            <w:vAlign w:val="bottom"/>
          </w:tcPr>
          <w:p>
            <w:pPr>
              <w:spacing w:after="0"/>
              <w:rPr>
                <w:sz w:val="1"/>
                <w:szCs w:val="1"/>
                <w:color w:val="auto"/>
              </w:rPr>
            </w:pPr>
          </w:p>
        </w:tc>
      </w:tr>
      <w:tr>
        <w:trPr>
          <w:trHeight w:val="148"/>
        </w:trPr>
        <w:tc>
          <w:tcPr>
            <w:tcW w:w="5280" w:type="dxa"/>
            <w:vAlign w:val="bottom"/>
            <w:tcBorders>
              <w:bottom w:val="single" w:sz="8" w:color="auto"/>
            </w:tcBorders>
            <w:gridSpan w:val="3"/>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Borders>
              <w:left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Part 5: Professional Fees and Expenses</w:t>
            </w:r>
          </w:p>
        </w:tc>
        <w:tc>
          <w:tcPr>
            <w:tcW w:w="1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jc w:val="center"/>
              <w:ind w:left="91"/>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980" w:type="dxa"/>
            <w:vAlign w:val="bottom"/>
            <w:tcBorders>
              <w:right w:val="single" w:sz="8" w:color="auto"/>
            </w:tcBorders>
          </w:tcPr>
          <w:p>
            <w:pPr>
              <w:jc w:val="center"/>
              <w:ind w:left="91"/>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1000" w:type="dxa"/>
            <w:vAlign w:val="bottom"/>
            <w:tcBorders>
              <w:right w:val="single" w:sz="8" w:color="auto"/>
            </w:tcBorders>
          </w:tcPr>
          <w:p>
            <w:pPr>
              <w:jc w:val="center"/>
              <w:ind w:left="24"/>
              <w:spacing w:after="0" w:line="119" w:lineRule="exact"/>
              <w:rPr>
                <w:sz w:val="20"/>
                <w:szCs w:val="20"/>
                <w:color w:val="auto"/>
              </w:rPr>
            </w:pPr>
            <w:r>
              <w:rPr>
                <w:rFonts w:ascii="Times New Roman" w:cs="Times New Roman" w:eastAsia="Times New Roman" w:hAnsi="Times New Roman"/>
                <w:sz w:val="13"/>
                <w:szCs w:val="13"/>
                <w:color w:val="auto"/>
              </w:rPr>
              <w:t>Paid Current</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Paid</w:t>
            </w:r>
          </w:p>
        </w:tc>
        <w:tc>
          <w:tcPr>
            <w:tcW w:w="0" w:type="dxa"/>
            <w:vAlign w:val="bottom"/>
          </w:tcPr>
          <w:p>
            <w:pPr>
              <w:spacing w:after="0"/>
              <w:rPr>
                <w:sz w:val="1"/>
                <w:szCs w:val="1"/>
                <w:color w:val="auto"/>
              </w:rPr>
            </w:pPr>
          </w:p>
        </w:tc>
      </w:tr>
      <w:tr>
        <w:trPr>
          <w:trHeight w:val="171"/>
        </w:trPr>
        <w:tc>
          <w:tcPr>
            <w:tcW w:w="3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w w:val="86"/>
              </w:rPr>
              <w:t>a. </w:t>
            </w:r>
          </w:p>
        </w:tc>
        <w:tc>
          <w:tcPr>
            <w:tcW w:w="92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ind w:left="91"/>
              <w:spacing w:after="0"/>
              <w:rPr>
                <w:sz w:val="20"/>
                <w:szCs w:val="20"/>
                <w:color w:val="auto"/>
              </w:rPr>
            </w:pPr>
            <w:r>
              <w:rPr>
                <w:rFonts w:ascii="Times New Roman" w:cs="Times New Roman" w:eastAsia="Times New Roman" w:hAnsi="Times New Roman"/>
                <w:sz w:val="14"/>
                <w:szCs w:val="14"/>
                <w:color w:val="auto"/>
              </w:rPr>
              <w:t>Current Month</w:t>
            </w:r>
          </w:p>
        </w:tc>
        <w:tc>
          <w:tcPr>
            <w:tcW w:w="980" w:type="dxa"/>
            <w:vAlign w:val="bottom"/>
            <w:tcBorders>
              <w:bottom w:val="single" w:sz="8" w:color="auto"/>
              <w:right w:val="single" w:sz="8" w:color="auto"/>
            </w:tcBorders>
          </w:tcPr>
          <w:p>
            <w:pPr>
              <w:jc w:val="center"/>
              <w:ind w:left="91"/>
              <w:spacing w:after="0"/>
              <w:rPr>
                <w:sz w:val="20"/>
                <w:szCs w:val="20"/>
                <w:color w:val="auto"/>
              </w:rPr>
            </w:pPr>
            <w:r>
              <w:rPr>
                <w:rFonts w:ascii="Times New Roman" w:cs="Times New Roman" w:eastAsia="Times New Roman" w:hAnsi="Times New Roman"/>
                <w:sz w:val="14"/>
                <w:szCs w:val="14"/>
                <w:color w:val="auto"/>
              </w:rPr>
              <w:t>Cumulative</w:t>
            </w:r>
          </w:p>
        </w:tc>
        <w:tc>
          <w:tcPr>
            <w:tcW w:w="100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color w:val="auto"/>
              </w:rPr>
              <w:t>Month</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Cumulative</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vMerge w:val="continue"/>
          </w:tcPr>
          <w:p>
            <w:pPr>
              <w:spacing w:after="0"/>
              <w:rPr>
                <w:sz w:val="18"/>
                <w:szCs w:val="18"/>
                <w:color w:val="auto"/>
              </w:rPr>
            </w:pPr>
          </w:p>
        </w:tc>
        <w:tc>
          <w:tcPr>
            <w:tcW w:w="670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Debtor’s professional fees &amp; expenses (bankruptcy) </w:t>
            </w:r>
            <w:r>
              <w:rPr>
                <w:rFonts w:ascii="Times New Roman" w:cs="Times New Roman" w:eastAsia="Times New Roman" w:hAnsi="Times New Roman"/>
                <w:sz w:val="18"/>
                <w:szCs w:val="18"/>
                <w:i w:val="1"/>
                <w:iCs w:val="1"/>
                <w:color w:val="auto"/>
              </w:rPr>
              <w:t>Aggregate Total</w:t>
            </w: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4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Firm Name</w:t>
            </w:r>
          </w:p>
        </w:tc>
        <w:tc>
          <w:tcPr>
            <w:tcW w:w="1760" w:type="dxa"/>
            <w:vAlign w:val="bottom"/>
            <w:tcBorders>
              <w:bottom w:val="single" w:sz="8" w:color="auto"/>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Role</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xvi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xvii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xviii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xxiv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xxvi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xxvii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xxviii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xxix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xxxiii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xxxiv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xxxv</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xxxvi</w:t>
            </w:r>
          </w:p>
        </w:tc>
        <w:tc>
          <w:tcPr>
            <w:tcW w:w="40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7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29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6129020"/>
                    </a:xfrm>
                    <a:prstGeom prst="rect">
                      <a:avLst/>
                    </a:prstGeom>
                    <a:noFill/>
                  </pic:spPr>
                </pic:pic>
              </a:graphicData>
            </a:graphic>
          </wp:anchor>
        </w:drawing>
      </w:r>
    </w:p>
    <w:p>
      <w:pPr>
        <w:spacing w:after="0" w:line="7" w:lineRule="exact"/>
        <w:rPr>
          <w:sz w:val="20"/>
          <w:szCs w:val="20"/>
          <w:color w:val="auto"/>
        </w:rPr>
      </w:pPr>
    </w:p>
    <w:p>
      <w:pPr>
        <w:ind w:left="320"/>
        <w:spacing w:after="0"/>
        <w:tabs>
          <w:tab w:leader="none" w:pos="7460" w:val="left"/>
          <w:tab w:leader="none" w:pos="8340" w:val="left"/>
          <w:tab w:leader="none" w:pos="9220" w:val="left"/>
          <w:tab w:leader="none" w:pos="10100" w:val="left"/>
        </w:tabs>
        <w:rPr>
          <w:sz w:val="20"/>
          <w:szCs w:val="20"/>
          <w:color w:val="auto"/>
        </w:rPr>
      </w:pPr>
      <w:r>
        <w:rPr>
          <w:rFonts w:ascii="Times New Roman" w:cs="Times New Roman" w:eastAsia="Times New Roman" w:hAnsi="Times New Roman"/>
          <w:sz w:val="18"/>
          <w:szCs w:val="18"/>
          <w:color w:val="auto"/>
        </w:rPr>
        <w:t>xxxviii</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tab/>
        <w:t xml:space="preserve">            </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xxxix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lxxviii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3360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336042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lxxxiii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lxxxiv</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lxxxv</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lxxxvi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lxxxvii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lxxxviii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lxxxix</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xciii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xciv</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xcv</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xcvi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xcvii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xcviii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xcix</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ci</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360" w:type="dxa"/>
            <w:vAlign w:val="bottom"/>
            <w:tcBorders>
              <w:top w:val="single" w:sz="8" w:color="auto"/>
              <w:left w:val="single" w:sz="8" w:color="auto"/>
              <w:right w:val="single" w:sz="8" w:color="auto"/>
            </w:tcBorders>
          </w:tcPr>
          <w:p>
            <w:pPr>
              <w:ind w:left="180"/>
              <w:spacing w:after="0" w:line="139" w:lineRule="exact"/>
              <w:rPr>
                <w:sz w:val="20"/>
                <w:szCs w:val="20"/>
                <w:color w:val="auto"/>
              </w:rPr>
            </w:pPr>
            <w:r>
              <w:rPr>
                <w:rFonts w:ascii="Times New Roman" w:cs="Times New Roman" w:eastAsia="Times New Roman" w:hAnsi="Times New Roman"/>
                <w:sz w:val="14"/>
                <w:szCs w:val="14"/>
                <w:color w:val="auto"/>
                <w:w w:val="99"/>
              </w:rPr>
              <w:t> </w:t>
            </w:r>
          </w:p>
        </w:tc>
        <w:tc>
          <w:tcPr>
            <w:tcW w:w="92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ind w:left="108"/>
              <w:spacing w:after="0" w:line="139" w:lineRule="exact"/>
              <w:rPr>
                <w:sz w:val="20"/>
                <w:szCs w:val="20"/>
                <w:color w:val="auto"/>
              </w:rPr>
            </w:pPr>
            <w:r>
              <w:rPr>
                <w:rFonts w:ascii="Times New Roman" w:cs="Times New Roman" w:eastAsia="Times New Roman" w:hAnsi="Times New Roman"/>
                <w:sz w:val="14"/>
                <w:szCs w:val="14"/>
                <w:color w:val="auto"/>
              </w:rPr>
              <w:t>Approved</w:t>
            </w:r>
          </w:p>
        </w:tc>
        <w:tc>
          <w:tcPr>
            <w:tcW w:w="960" w:type="dxa"/>
            <w:vAlign w:val="bottom"/>
            <w:tcBorders>
              <w:top w:val="single" w:sz="8" w:color="auto"/>
              <w:right w:val="single" w:sz="8" w:color="auto"/>
            </w:tcBorders>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Approved</w:t>
            </w:r>
          </w:p>
        </w:tc>
        <w:tc>
          <w:tcPr>
            <w:tcW w:w="1000" w:type="dxa"/>
            <w:vAlign w:val="bottom"/>
            <w:tcBorders>
              <w:top w:val="single" w:sz="8" w:color="auto"/>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Paid Current</w:t>
            </w:r>
          </w:p>
        </w:tc>
        <w:tc>
          <w:tcPr>
            <w:tcW w:w="960" w:type="dxa"/>
            <w:vAlign w:val="bottom"/>
            <w:tcBorders>
              <w:top w:val="single" w:sz="8" w:color="auto"/>
              <w:right w:val="single" w:sz="8" w:color="auto"/>
            </w:tcBorders>
          </w:tcPr>
          <w:p>
            <w:pPr>
              <w:jc w:val="right"/>
              <w:ind w:right="237"/>
              <w:spacing w:after="0" w:line="139" w:lineRule="exact"/>
              <w:rPr>
                <w:sz w:val="20"/>
                <w:szCs w:val="20"/>
                <w:color w:val="auto"/>
              </w:rPr>
            </w:pPr>
            <w:r>
              <w:rPr>
                <w:rFonts w:ascii="Times New Roman" w:cs="Times New Roman" w:eastAsia="Times New Roman" w:hAnsi="Times New Roman"/>
                <w:sz w:val="14"/>
                <w:szCs w:val="14"/>
                <w:color w:val="auto"/>
              </w:rPr>
              <w:t>Paid</w:t>
            </w:r>
          </w:p>
        </w:tc>
      </w:tr>
      <w:tr>
        <w:trPr>
          <w:trHeight w:val="171"/>
        </w:trPr>
        <w:tc>
          <w:tcPr>
            <w:tcW w:w="3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99"/>
              </w:rPr>
              <w:t> </w:t>
            </w:r>
          </w:p>
        </w:tc>
        <w:tc>
          <w:tcPr>
            <w:tcW w:w="9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Current Month</w:t>
            </w:r>
          </w:p>
        </w:tc>
        <w:tc>
          <w:tcPr>
            <w:tcW w:w="96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Cumulative</w:t>
            </w:r>
          </w:p>
        </w:tc>
        <w:tc>
          <w:tcPr>
            <w:tcW w:w="100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Month</w:t>
            </w:r>
          </w:p>
        </w:tc>
        <w:tc>
          <w:tcPr>
            <w:tcW w:w="96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Cumulative</w:t>
            </w:r>
          </w:p>
        </w:tc>
      </w:tr>
      <w:tr>
        <w:trPr>
          <w:trHeight w:val="210"/>
        </w:trPr>
        <w:tc>
          <w:tcPr>
            <w:tcW w:w="3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3"/>
              </w:rPr>
              <w:t>b. </w:t>
            </w:r>
          </w:p>
        </w:tc>
        <w:tc>
          <w:tcPr>
            <w:tcW w:w="668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Debtor’s professional fees &amp; expenses (nonbankruptcy) </w:t>
            </w:r>
            <w:r>
              <w:rPr>
                <w:rFonts w:ascii="Times New Roman" w:cs="Times New Roman" w:eastAsia="Times New Roman" w:hAnsi="Times New Roman"/>
                <w:sz w:val="18"/>
                <w:szCs w:val="18"/>
                <w:i w:val="1"/>
                <w:iCs w:val="1"/>
                <w:color w:val="auto"/>
              </w:rPr>
              <w:t>Aggregate Total</w:t>
            </w: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9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$348</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4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Firm Name</w:t>
            </w:r>
          </w:p>
        </w:tc>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Role</w:t>
            </w: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3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Rothwell, Figg, Ernst &amp; Manbec</w:t>
            </w:r>
          </w:p>
        </w:tc>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Special Counsel</w:t>
            </w: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9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$295</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3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Daijogo &amp; Pedersen, LLP</w:t>
            </w:r>
          </w:p>
        </w:tc>
        <w:tc>
          <w:tcPr>
            <w:tcW w:w="1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Special Counsel</w:t>
            </w: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9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  52</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ix</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xiii</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xiv</w:t>
            </w:r>
          </w:p>
        </w:tc>
        <w:tc>
          <w:tcPr>
            <w:tcW w:w="39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35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7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29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612965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7740" w:val="left"/>
          <w:tab w:leader="none" w:pos="8620" w:val="left"/>
          <w:tab w:leader="none" w:pos="9500" w:val="left"/>
          <w:tab w:leader="none" w:pos="10240" w:val="left"/>
        </w:tabs>
        <w:rPr>
          <w:sz w:val="20"/>
          <w:szCs w:val="20"/>
          <w:color w:val="auto"/>
        </w:rPr>
      </w:pPr>
      <w:r>
        <w:rPr>
          <w:rFonts w:ascii="Times New Roman" w:cs="Times New Roman" w:eastAsia="Times New Roman" w:hAnsi="Times New Roman"/>
          <w:sz w:val="18"/>
          <w:szCs w:val="18"/>
          <w:color w:val="auto"/>
        </w:rPr>
        <w:t>xvi</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tab/>
        <w:t xml:space="preserve">         </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lvi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148"/>
        </w:trPr>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209"/>
        </w:trPr>
        <w:tc>
          <w:tcPr>
            <w:tcW w:w="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lvii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lviii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76"/>
              </w:rPr>
              <w:t>    </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xcviii</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xcix</w:t>
            </w:r>
          </w:p>
        </w:tc>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304"/>
        </w:trPr>
        <w:tc>
          <w:tcPr>
            <w:tcW w:w="300" w:type="dxa"/>
            <w:vAlign w:val="bottom"/>
            <w:tcBorders>
              <w:left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8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504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c.     All professional fees and expenses (debtor &amp; committees)</w:t>
            </w: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$348</w:t>
            </w: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35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6495415</wp:posOffset>
            </wp:positionH>
            <wp:positionV relativeFrom="paragraph">
              <wp:posOffset>-6917055</wp:posOffset>
            </wp:positionV>
            <wp:extent cx="8890" cy="6686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668655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-6917055</wp:posOffset>
            </wp:positionV>
            <wp:extent cx="8890" cy="6686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668655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-6917055</wp:posOffset>
            </wp:positionV>
            <wp:extent cx="8255" cy="6686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668655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w w:val="98"/>
              </w:rPr>
              <w:t>Case No. 26-10989</w:t>
            </w:r>
          </w:p>
        </w:tc>
      </w:tr>
      <w:tr>
        <w:trPr>
          <w:trHeight w:val="317"/>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Part 6: Postpetition Taxes</w:t>
            </w:r>
          </w:p>
        </w:tc>
        <w:tc>
          <w:tcPr>
            <w:tcW w:w="5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6540" w:type="dxa"/>
            <w:vAlign w:val="bottom"/>
            <w:tcBorders>
              <w:top w:val="single" w:sz="8" w:color="CCEEFF"/>
            </w:tcBorders>
            <w:gridSpan w:val="2"/>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 Postpetition income taxes accrued (local, state, and federal)</w:t>
            </w:r>
          </w:p>
        </w:tc>
        <w:tc>
          <w:tcPr>
            <w:tcW w:w="2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6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income taxes paid (local, state, and federal)</w:t>
            </w:r>
          </w:p>
        </w:tc>
        <w:tc>
          <w:tcPr>
            <w:tcW w:w="2140" w:type="dxa"/>
            <w:vAlign w:val="bottom"/>
          </w:tcPr>
          <w:p>
            <w:pPr>
              <w:spacing w:after="0"/>
              <w:rPr>
                <w:sz w:val="20"/>
                <w:szCs w:val="20"/>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6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 Postpetition employer payroll taxes accrued</w:t>
            </w:r>
          </w:p>
        </w:tc>
        <w:tc>
          <w:tcPr>
            <w:tcW w:w="23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226,736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282,175</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6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employer payroll taxes paid</w:t>
            </w:r>
          </w:p>
        </w:tc>
        <w:tc>
          <w:tcPr>
            <w:tcW w:w="21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421,834</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421,834</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6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 Postpetition property taxes paid</w:t>
            </w:r>
          </w:p>
        </w:tc>
        <w:tc>
          <w:tcPr>
            <w:tcW w:w="23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6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Postpetition other taxes accrued (local, state, and federal)</w:t>
            </w:r>
          </w:p>
        </w:tc>
        <w:tc>
          <w:tcPr>
            <w:tcW w:w="21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6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Postpetition other taxes paid (local, state, and federal)</w:t>
            </w:r>
          </w:p>
        </w:tc>
        <w:tc>
          <w:tcPr>
            <w:tcW w:w="23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7: Questionnaire - During this reporting period:</w:t>
      </w:r>
    </w:p>
    <w:p>
      <w:pPr>
        <w:sectPr>
          <w:pgSz w:w="11900" w:h="16838" w:orient="portrait"/>
          <w:cols w:equalWidth="0" w:num="1">
            <w:col w:w="11020"/>
          </w:cols>
          <w:pgMar w:left="440" w:top="270" w:right="439" w:bottom="1440" w:gutter="0" w:footer="0" w:header="0"/>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59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 Were any payments made on prepetition debt? (if yes, see Instructions)</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59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Were any payments made outside the ordinary course of business without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48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approval? (if yes, see Instructions)</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4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 Were any payments made to or on behalf of insiders?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Are you current on postpetition tax return filings?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4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 Are you current on postpetition estimated tax payments?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4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Were all trust fund taxes remitted on a current basis?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59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Was there any postpetition borrowing, other than trade credit? (if yes, see</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Instructions)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59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Were all payments made to or on behalf of professionals approved by the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Do you have: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Worker’s compensation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Casualty/property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liability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4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Has a plan of reorganization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Has a disclosure statement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Are you current with quarterly U.S. Trustee fees as set forth under 28 U.S.C.</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1930?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5"/>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-4448810</wp:posOffset>
            </wp:positionV>
            <wp:extent cx="15430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-4448810</wp:posOffset>
            </wp:positionV>
            <wp:extent cx="14605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-4225925</wp:posOffset>
            </wp:positionV>
            <wp:extent cx="15430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-4225925</wp:posOffset>
            </wp:positionV>
            <wp:extent cx="14605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-3883025</wp:posOffset>
            </wp:positionV>
            <wp:extent cx="1543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-3883025</wp:posOffset>
            </wp:positionV>
            <wp:extent cx="14605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-3660140</wp:posOffset>
            </wp:positionV>
            <wp:extent cx="1543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-3660140</wp:posOffset>
            </wp:positionV>
            <wp:extent cx="1460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-3437255</wp:posOffset>
            </wp:positionV>
            <wp:extent cx="15430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-3437255</wp:posOffset>
            </wp:positionV>
            <wp:extent cx="1460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-3214370</wp:posOffset>
            </wp:positionV>
            <wp:extent cx="15430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-3214370</wp:posOffset>
            </wp:positionV>
            <wp:extent cx="14605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-2991485</wp:posOffset>
            </wp:positionV>
            <wp:extent cx="15430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-2991485</wp:posOffset>
            </wp:positionV>
            <wp:extent cx="14605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-2648585</wp:posOffset>
            </wp:positionV>
            <wp:extent cx="14541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-2648585</wp:posOffset>
            </wp:positionV>
            <wp:extent cx="15430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-2391410</wp:posOffset>
            </wp:positionV>
            <wp:extent cx="15430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-2391410</wp:posOffset>
            </wp:positionV>
            <wp:extent cx="14605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-2168525</wp:posOffset>
            </wp:positionV>
            <wp:extent cx="15430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-2168525</wp:posOffset>
            </wp:positionV>
            <wp:extent cx="14605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-1911350</wp:posOffset>
            </wp:positionV>
            <wp:extent cx="15430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-1911350</wp:posOffset>
            </wp:positionV>
            <wp:extent cx="14605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-1688465</wp:posOffset>
            </wp:positionV>
            <wp:extent cx="15430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-1688465</wp:posOffset>
            </wp:positionV>
            <wp:extent cx="14605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-1431290</wp:posOffset>
            </wp:positionV>
            <wp:extent cx="15430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-1431290</wp:posOffset>
            </wp:positionV>
            <wp:extent cx="14605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-1208405</wp:posOffset>
            </wp:positionV>
            <wp:extent cx="15430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-1208405</wp:posOffset>
            </wp:positionV>
            <wp:extent cx="14605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-951230</wp:posOffset>
            </wp:positionV>
            <wp:extent cx="14541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-951230</wp:posOffset>
            </wp:positionV>
            <wp:extent cx="15430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-728345</wp:posOffset>
            </wp:positionV>
            <wp:extent cx="14541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-728345</wp:posOffset>
            </wp:positionV>
            <wp:extent cx="15430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-505460</wp:posOffset>
            </wp:positionV>
            <wp:extent cx="15430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-505460</wp:posOffset>
            </wp:positionV>
            <wp:extent cx="14605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sz w:val="1"/>
          <w:szCs w:val="1"/>
          <w:color w:val="auto"/>
        </w:rPr>
        <w:drawing>
          <wp:inline distT="0" distB="0" distL="0" distR="0">
            <wp:extent cx="145415" cy="1543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sz w:val="1"/>
          <w:szCs w:val="1"/>
          <w:color w:val="auto"/>
        </w:rPr>
        <w:drawing>
          <wp:inline distT="0" distB="0" distL="0" distR="0">
            <wp:extent cx="145415" cy="1543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sz w:val="1"/>
          <w:szCs w:val="1"/>
          <w:color w:val="auto"/>
        </w:rPr>
        <w:drawing>
          <wp:inline distT="0" distB="0" distL="0" distR="0">
            <wp:extent cx="145415" cy="1543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ectPr>
          <w:pgSz w:w="11900" w:h="16838" w:orient="portrait"/>
          <w:cols w:equalWidth="0" w:num="2">
            <w:col w:w="7540" w:space="620"/>
            <w:col w:w="2860"/>
          </w:cols>
          <w:pgMar w:left="440" w:top="270" w:right="4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color w:val="auto"/>
              </w:rPr>
              <w:t>Case No. 26-10989</w:t>
            </w:r>
          </w:p>
        </w:tc>
        <w:tc>
          <w:tcPr>
            <w:tcW w:w="0" w:type="dxa"/>
            <w:vAlign w:val="bottom"/>
          </w:tcPr>
          <w:p>
            <w:pPr>
              <w:spacing w:after="0"/>
              <w:rPr>
                <w:sz w:val="1"/>
                <w:szCs w:val="1"/>
                <w:color w:val="auto"/>
              </w:rPr>
            </w:pPr>
          </w:p>
        </w:tc>
      </w:tr>
      <w:tr>
        <w:trPr>
          <w:trHeight w:val="29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Part 8: Individual Chapter 11 Debtors (Only)</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 Gross income (receipts) from salary and wages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Gross income (receipts) from self-employment</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 Gross income from all other sources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Total income in the reporting period (a+b+c)</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 Payroll deductions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Self-employment related expenses</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Living expenses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All other expenses</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Total expenses in the reporting period (e+f+g+h)</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Difference between total income and total expenses (d-i)</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List the total amount of all postpetition debts that are past due</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l. 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Are you required to pay any Domestic Support Obligations as defined by 11 U.S.C § 101(14A)?</w:t>
            </w: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6"/>
                <w:szCs w:val="26"/>
                <w:color w:val="auto"/>
                <w:vertAlign w:val="subscript"/>
              </w:rPr>
              <w:t xml:space="preserve"> </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m.    If yes, have you made all Domestic Support Obligation payments?</w:t>
            </w:r>
          </w:p>
        </w:tc>
        <w:tc>
          <w:tcPr>
            <w:tcW w:w="820" w:type="dxa"/>
            <w:vAlign w:val="bottom"/>
            <w:vMerge w:val="restart"/>
            <w:shd w:val="clear" w:color="auto" w:fill="CCEEFF"/>
          </w:tcPr>
          <w:p>
            <w:pPr>
              <w:ind w:left="280"/>
              <w:spacing w:after="0" w:line="297" w:lineRule="exact"/>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p>
        </w:tc>
        <w:tc>
          <w:tcPr>
            <w:tcW w:w="800" w:type="dxa"/>
            <w:vAlign w:val="bottom"/>
            <w:vMerge w:val="restart"/>
            <w:shd w:val="clear" w:color="auto" w:fill="CCEEFF"/>
          </w:tcPr>
          <w:p>
            <w:pPr>
              <w:ind w:left="200"/>
              <w:spacing w:after="0" w:line="297"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6"/>
                <w:szCs w:val="26"/>
                <w:color w:val="auto"/>
                <w:vertAlign w:val="subscript"/>
              </w:rPr>
              <w:t xml:space="preserve">  </w:t>
            </w:r>
          </w:p>
        </w:tc>
        <w:tc>
          <w:tcPr>
            <w:tcW w:w="1280" w:type="dxa"/>
            <w:vAlign w:val="bottom"/>
            <w:gridSpan w:val="2"/>
            <w:vMerge w:val="restart"/>
            <w:shd w:val="clear" w:color="auto" w:fill="CCEEFF"/>
          </w:tcPr>
          <w:p>
            <w:pPr>
              <w:ind w:left="320"/>
              <w:spacing w:after="0" w:line="297"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bscript"/>
              </w:rPr>
              <w:t xml:space="preserve"> </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2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-376555</wp:posOffset>
            </wp:positionV>
            <wp:extent cx="14605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-376555</wp:posOffset>
            </wp:positionV>
            <wp:extent cx="15430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-187960</wp:posOffset>
            </wp:positionV>
            <wp:extent cx="14605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-187960</wp:posOffset>
            </wp:positionV>
            <wp:extent cx="14605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-187960</wp:posOffset>
            </wp:positionV>
            <wp:extent cx="15430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Privacy Act Statement</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 declare under penalty of perjury that the foregoing Monthly Operating Report and its supporting documentation are true and correct and that I have been authorized to sign this report on behalf of the estate.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10/23/2026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6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111760</wp:posOffset>
            </wp:positionV>
            <wp:extent cx="6557645" cy="762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20"/>
          </w:cols>
          <w:pgMar w:left="440" w:top="270" w:right="439" w:bottom="1440" w:gutter="0" w:footer="0" w:header="0"/>
        </w:sectPr>
      </w:pPr>
    </w:p>
    <w:bookmarkStart w:id="14" w:name="page15"/>
    <w:bookmarkEnd w:id="14"/>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111760</wp:posOffset>
            </wp:positionV>
            <wp:extent cx="6694805" cy="762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9480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20"/>
          </w:cols>
          <w:pgMar w:left="440" w:top="270" w:right="439" w:bottom="1440" w:gutter="0" w:footer="0" w:header="0"/>
        </w:sectPr>
      </w:pPr>
    </w:p>
    <w:bookmarkStart w:id="15" w:name="page16"/>
    <w:bookmarkEnd w:id="15"/>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003415" cy="762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341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020"/>
          </w:cols>
          <w:pgMar w:left="440" w:top="270"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IN THE UNITED STATES BANKRUPTCY COURT</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2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FOR THE DISTRICT DELAWARE</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auto"/>
            </w:tcBorders>
          </w:tcPr>
          <w:p>
            <w:pPr>
              <w:spacing w:after="0"/>
              <w:rPr>
                <w:sz w:val="22"/>
                <w:szCs w:val="22"/>
                <w:color w:val="auto"/>
              </w:rPr>
            </w:pPr>
          </w:p>
        </w:tc>
        <w:tc>
          <w:tcPr>
            <w:tcW w:w="4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Chapter 11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SANGAMO THERAPEUTICS, INC. </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Case No. 26-10989 (CTG)</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1080"/>
              <w:spacing w:after="0" w:line="216" w:lineRule="exact"/>
              <w:rPr>
                <w:sz w:val="20"/>
                <w:szCs w:val="20"/>
                <w:color w:val="auto"/>
              </w:rPr>
            </w:pPr>
            <w:r>
              <w:rPr>
                <w:rFonts w:ascii="Times New Roman" w:cs="Times New Roman" w:eastAsia="Times New Roman" w:hAnsi="Times New Roman"/>
                <w:sz w:val="17"/>
                <w:szCs w:val="17"/>
                <w:color w:val="auto"/>
              </w:rPr>
              <w:t>Debtor.</w:t>
            </w:r>
            <w:r>
              <w:rPr>
                <w:rFonts w:ascii="Times New Roman" w:cs="Times New Roman" w:eastAsia="Times New Roman" w:hAnsi="Times New Roman"/>
                <w:sz w:val="25"/>
                <w:szCs w:val="25"/>
                <w:color w:val="auto"/>
                <w:vertAlign w:val="superscript"/>
              </w:rPr>
              <w:t>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left="440" w:right="26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GLOBAL NOTES AND STATEMENT OF LIMITATIONS, METHODOLOGY, AND DISCLAIMERS REGARDING THE DEBTOR’S </w:t>
      </w:r>
      <w:r>
        <w:rPr>
          <w:rFonts w:ascii="Times New Roman" w:cs="Times New Roman" w:eastAsia="Times New Roman" w:hAnsi="Times New Roman"/>
          <w:sz w:val="18"/>
          <w:szCs w:val="18"/>
          <w:b w:val="1"/>
          <w:bCs w:val="1"/>
          <w:i w:val="1"/>
          <w:iCs w:val="1"/>
          <w:color w:val="auto"/>
        </w:rPr>
        <w:t>AMENDED</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MONTHLY OPERATING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On June 23, 2026 (the “</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Sangamo Therapeutics, Inc.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commenced the above-captioned chapter 11 case by filing a voluntary petition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with the United States Bankruptcy Court for the District of Delaware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The Debtor is authorized to operate its business as a debtor-in-possession pursuant to sections 1107(a) and 1108 of the Bankruptcy Code.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General Methodology</w:t>
      </w:r>
    </w:p>
    <w:p>
      <w:pPr>
        <w:spacing w:after="0" w:line="225"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Debtor is filing its monthly operating report (the “</w:t>
      </w:r>
      <w:r>
        <w:rPr>
          <w:rFonts w:ascii="Times New Roman" w:cs="Times New Roman" w:eastAsia="Times New Roman" w:hAnsi="Times New Roman"/>
          <w:sz w:val="18"/>
          <w:szCs w:val="18"/>
          <w:b w:val="1"/>
          <w:bCs w:val="1"/>
          <w:color w:val="auto"/>
        </w:rPr>
        <w:t>MOR</w:t>
      </w:r>
      <w:r>
        <w:rPr>
          <w:rFonts w:ascii="Times New Roman" w:cs="Times New Roman" w:eastAsia="Times New Roman" w:hAnsi="Times New Roman"/>
          <w:sz w:val="18"/>
          <w:szCs w:val="18"/>
          <w:color w:val="auto"/>
        </w:rPr>
        <w:t>”) for the period from July 1, 2026 through July 31, 2026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for purposes of complying with the monthly reporting requirements applicable in the Debtor’s chapter 11 case. The MOR is unaudited and has not been prepared in accordance with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does not include all of the information and footnotes required by U.S. GAAP. The MOR is not intended to reconcile to any financial statements otherwise prepared or distributed by the Debtor. The MOR should not be relied upon by any persons for information relating to current or future financial condition, events, or performance of the Debtor or its affiliates, as the results of operations contained herein are not necessarily indicative of results which may be expected from any other period or for the full year and may not necessarily reflect the results of operations, financial position, and schedule of receipts and disbursements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 and the last four digits of its taxpayer identification number are: Sangamo Therapeutics, Inc. (9556). The Debtor’s mailing address is</w:t>
      </w:r>
    </w:p>
    <w:p>
      <w:pPr>
        <w:spacing w:after="0" w:line="198" w:lineRule="exact"/>
        <w:rPr>
          <w:sz w:val="20"/>
          <w:szCs w:val="20"/>
          <w:color w:val="auto"/>
        </w:rPr>
      </w:pPr>
    </w:p>
    <w:p>
      <w:pPr>
        <w:ind w:left="424" w:hanging="424"/>
        <w:spacing w:after="0" w:line="220"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amended monthly operating report amends the July monthly operating report filed at Docket No. 427 to add information regarding payments inadvertently made to ordinary course professionals, as set forth in part 5(b) of the monthly operating report form and the attached attestation titled “Part 7(b) and 7(h) Payments Without Court Approval.”</w:t>
      </w:r>
    </w:p>
    <w:p>
      <w:pPr>
        <w:sectPr>
          <w:pgSz w:w="11900" w:h="16838" w:orient="portrait"/>
          <w:cols w:equalWidth="0" w:num="1">
            <w:col w:w="11004"/>
          </w:cols>
          <w:pgMar w:left="436" w:top="266" w:right="4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for Presentation</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For the reasons discussed above, there can be no assurance that the financial information presented in the MOR is complete, and readers are strongly cautioned not to place undue reliance on the MOR.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Reporting Period</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herein, the MOR generally reflects the Debtor’s books and records for the applicable Reporting Period. Unless otherwise noted herein, no adjustments have been made for activity occurring after the close of the Reporting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Accuracy</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w:t>
      </w:r>
    </w:p>
    <w:p>
      <w:pPr>
        <w:sectPr>
          <w:pgSz w:w="11900" w:h="16838" w:orient="portrait"/>
          <w:cols w:equalWidth="0" w:num="1">
            <w:col w:w="11000"/>
          </w:cols>
          <w:pgMar w:left="440" w:top="266" w:right="4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 in Possession Financing</w:t>
      </w:r>
    </w:p>
    <w:p>
      <w:pPr>
        <w:spacing w:after="0" w:line="227" w:lineRule="exact"/>
        <w:rPr>
          <w:sz w:val="20"/>
          <w:szCs w:val="20"/>
          <w:color w:val="auto"/>
        </w:rPr>
      </w:pPr>
    </w:p>
    <w:p>
      <w:pPr>
        <w:ind w:right="2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June 25, 2026, the Court entered the </w:t>
      </w:r>
      <w:r>
        <w:rPr>
          <w:rFonts w:ascii="Times New Roman" w:cs="Times New Roman" w:eastAsia="Times New Roman" w:hAnsi="Times New Roman"/>
          <w:sz w:val="18"/>
          <w:szCs w:val="18"/>
          <w:i w:val="1"/>
          <w:iCs w:val="1"/>
          <w:color w:val="auto"/>
        </w:rPr>
        <w:t>Interim Order (A) Authorizing the Debtor to Obtain Postpetition Financing, (B) Granting Liens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Providing 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63] (the “</w:t>
      </w:r>
      <w:r>
        <w:rPr>
          <w:rFonts w:ascii="Times New Roman" w:cs="Times New Roman" w:eastAsia="Times New Roman" w:hAnsi="Times New Roman"/>
          <w:sz w:val="18"/>
          <w:szCs w:val="18"/>
          <w:b w:val="1"/>
          <w:bCs w:val="1"/>
          <w:color w:val="auto"/>
        </w:rPr>
        <w:t>Initial Interim DIP Order</w:t>
      </w:r>
      <w:r>
        <w:rPr>
          <w:rFonts w:ascii="Times New Roman" w:cs="Times New Roman" w:eastAsia="Times New Roman" w:hAnsi="Times New Roman"/>
          <w:sz w:val="18"/>
          <w:szCs w:val="18"/>
          <w:color w:val="auto"/>
        </w:rPr>
        <w:t>”) authorizing the Debtor to enter into a senior secured superpriority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debtor-in-possession term loan facility (the “</w:t>
      </w:r>
      <w:r>
        <w:rPr>
          <w:rFonts w:ascii="Times New Roman" w:cs="Times New Roman" w:eastAsia="Times New Roman" w:hAnsi="Times New Roman"/>
          <w:sz w:val="18"/>
          <w:szCs w:val="18"/>
          <w:b w:val="1"/>
          <w:bCs w:val="1"/>
          <w:color w:val="auto"/>
        </w:rPr>
        <w:t>Initial DIP Facility</w:t>
      </w:r>
      <w:r>
        <w:rPr>
          <w:rFonts w:ascii="Times New Roman" w:cs="Times New Roman" w:eastAsia="Times New Roman" w:hAnsi="Times New Roman"/>
          <w:sz w:val="18"/>
          <w:szCs w:val="18"/>
          <w:color w:val="auto"/>
        </w:rPr>
        <w:t>”). Prior to the Reporting Period, the Debtor drew $10,500,000 under the Initial DIP Facility. Please refer to the motion [Docket No. 10] seeking entry of the Initial Interim DIP Order for additional information regarding the Initial DIP Facility.</w:t>
      </w:r>
    </w:p>
    <w:p>
      <w:pPr>
        <w:spacing w:after="0" w:line="18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July 23, 2026, the Court entered the </w:t>
      </w:r>
      <w:r>
        <w:rPr>
          <w:rFonts w:ascii="Times New Roman" w:cs="Times New Roman" w:eastAsia="Times New Roman" w:hAnsi="Times New Roman"/>
          <w:sz w:val="18"/>
          <w:szCs w:val="18"/>
          <w:i w:val="1"/>
          <w:iCs w:val="1"/>
          <w:color w:val="auto"/>
        </w:rPr>
        <w:t>Interim Order (A) Authorizing the Debtor to Obtain Replacement Postpetition Financing, (B) Granting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Liens and Providing 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176] (the “</w:t>
      </w:r>
      <w:r>
        <w:rPr>
          <w:rFonts w:ascii="Times New Roman" w:cs="Times New Roman" w:eastAsia="Times New Roman" w:hAnsi="Times New Roman"/>
          <w:sz w:val="18"/>
          <w:szCs w:val="18"/>
          <w:b w:val="1"/>
          <w:bCs w:val="1"/>
          <w:color w:val="auto"/>
        </w:rPr>
        <w:t>Replacement Interim DIP Order</w:t>
      </w:r>
      <w:r>
        <w:rPr>
          <w:rFonts w:ascii="Times New Roman" w:cs="Times New Roman" w:eastAsia="Times New Roman" w:hAnsi="Times New Roman"/>
          <w:sz w:val="18"/>
          <w:szCs w:val="18"/>
          <w:color w:val="auto"/>
        </w:rPr>
        <w:t>”), which among other things, authorized the Debtor to enter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secured superpriority debtor-in-possession term loan facility (the “</w:t>
      </w:r>
      <w:r>
        <w:rPr>
          <w:rFonts w:ascii="Times New Roman" w:cs="Times New Roman" w:eastAsia="Times New Roman" w:hAnsi="Times New Roman"/>
          <w:sz w:val="18"/>
          <w:szCs w:val="18"/>
          <w:b w:val="1"/>
          <w:bCs w:val="1"/>
          <w:color w:val="auto"/>
        </w:rPr>
        <w:t>Replacement DIP Facility</w:t>
      </w:r>
      <w:r>
        <w:rPr>
          <w:rFonts w:ascii="Times New Roman" w:cs="Times New Roman" w:eastAsia="Times New Roman" w:hAnsi="Times New Roman"/>
          <w:sz w:val="18"/>
          <w:szCs w:val="18"/>
          <w:color w:val="auto"/>
        </w:rPr>
        <w:t>”) to replace the Initial DIP Facility. During the Reporting Period, the Debtor incurred $18 million in DIP Obligations (as defined in the Replacement DIP Order) under the Replacement DIP Order, $11,432,958 of which was paid by the Debtor or on the Debtor’s behalf to satisfy all outstanding obligations arising under the Initial DIP Facility, including all fees. Please refer to the motion [Docket No. 161] seeking entry of the Replacement Interim DIP Order for additional information regarding the Replacement DIP Facility.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Prepetition Claims Pursuant to First Day Orders</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certain interim orders of the Court entered on or about June 24, 2026 and final orders of the Court entered on or about July 21, 2026 (the “</w:t>
      </w:r>
      <w:r>
        <w:rPr>
          <w:rFonts w:ascii="Times New Roman" w:cs="Times New Roman" w:eastAsia="Times New Roman" w:hAnsi="Times New Roman"/>
          <w:sz w:val="18"/>
          <w:szCs w:val="18"/>
          <w:b w:val="1"/>
          <w:bCs w:val="1"/>
          <w:color w:val="auto"/>
        </w:rPr>
        <w:t>First Day Orders</w:t>
      </w:r>
      <w:r>
        <w:rPr>
          <w:rFonts w:ascii="Times New Roman" w:cs="Times New Roman" w:eastAsia="Times New Roman" w:hAnsi="Times New Roman"/>
          <w:sz w:val="18"/>
          <w:szCs w:val="18"/>
          <w:color w:val="auto"/>
        </w:rPr>
        <w:t>”), the Debtor is authorized (but not directed) to pay, among other things, certain prepetition claims of employees and taxing authorities. Accordingly, these liabilities may have been or may be satisfied in accordance with such First Day Orders. To the extent any payments were made on account of prepetition claims following the Petition Date pursuant to the authority granted to the Debtor under the First Day Orders, such payments have been included in the MOR (subject to the notes and statements and limitations provided herein).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Reservation of Rights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MOR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Cash Receipts and Disbursements</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Pursuant to the Initial Interim DIP Order and Replacement Interim DIP Order (together the “</w:t>
      </w:r>
      <w:r>
        <w:rPr>
          <w:rFonts w:ascii="Times New Roman" w:cs="Times New Roman" w:eastAsia="Times New Roman" w:hAnsi="Times New Roman"/>
          <w:sz w:val="18"/>
          <w:szCs w:val="18"/>
          <w:b w:val="1"/>
          <w:bCs w:val="1"/>
          <w:color w:val="auto"/>
        </w:rPr>
        <w:t>Interim DIP Orders</w:t>
      </w:r>
      <w:r>
        <w:rPr>
          <w:rFonts w:ascii="Times New Roman" w:cs="Times New Roman" w:eastAsia="Times New Roman" w:hAnsi="Times New Roman"/>
          <w:sz w:val="18"/>
          <w:szCs w:val="18"/>
          <w:color w:val="auto"/>
        </w:rPr>
        <w:t>”), fees and expenses of estate professionals were placed into the Professional Fees Account (as defined in the Interim DIP Orders) maintained by the Debtor. The transfer of such funds to the Professional Fee Account were treated as a transfer between Debtor accounts, and, therefore, were not treated as a distribution in Part 1(c). Professional fees will be treated as a disbursement in the reporting period in which they are paid to the applicable professionals.</w:t>
      </w:r>
    </w:p>
    <w:p>
      <w:pPr>
        <w:sectPr>
          <w:pgSz w:w="11900" w:h="16838" w:orient="portrait"/>
          <w:cols w:equalWidth="0" w:num="1">
            <w:col w:w="11000"/>
          </w:cols>
          <w:pgMar w:left="440" w:top="266" w:right="459" w:bottom="1440" w:gutter="0" w:footer="0" w:header="0"/>
        </w:sectPr>
      </w:pPr>
    </w:p>
    <w:bookmarkStart w:id="19" w:name="page20"/>
    <w:bookmarkEnd w:id="19"/>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Similarly, pursuant to the interim and final orders approving, among other things, the Debtor’s proposed form of adequate assurance of payment to utility companies [Docket No. 56 &amp; 142] (the “</w:t>
      </w:r>
      <w:r>
        <w:rPr>
          <w:rFonts w:ascii="Times New Roman" w:cs="Times New Roman" w:eastAsia="Times New Roman" w:hAnsi="Times New Roman"/>
          <w:sz w:val="18"/>
          <w:szCs w:val="18"/>
          <w:b w:val="1"/>
          <w:bCs w:val="1"/>
          <w:color w:val="auto"/>
        </w:rPr>
        <w:t>Utilities Orders</w:t>
      </w:r>
      <w:r>
        <w:rPr>
          <w:rFonts w:ascii="Times New Roman" w:cs="Times New Roman" w:eastAsia="Times New Roman" w:hAnsi="Times New Roman"/>
          <w:sz w:val="18"/>
          <w:szCs w:val="18"/>
          <w:color w:val="auto"/>
        </w:rPr>
        <w:t>”), the Debtor deposited funds into the Utility Deposit Account (as defined in the Utilities Orders) maintained by the Debtor prior to the Reporting Period. The funds in such account will be treated as disbursements only if they are ultimately paid to a third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2: Asset and Liability Status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continues to pay postpetition invoices on account of postpetition goods provided and services rendered in the ordinary course of business.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amounts listed as “Prepetition Secured Debt,” “Prepetition Priority Debt” and “Prepetition Unsecured Debt” are preliminary and are subject to ongoing review and reconciliation by the Debtor. All amounts and classifications are subject to material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Part 2c, the Debtor does not hold inventory; therefore, no inventory valuation method is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6: Postpetition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Regarding </w:t>
      </w:r>
      <w:r>
        <w:rPr>
          <w:rFonts w:ascii="Times New Roman" w:cs="Times New Roman" w:eastAsia="Times New Roman" w:hAnsi="Times New Roman"/>
          <w:sz w:val="18"/>
          <w:szCs w:val="18"/>
          <w:u w:val="single" w:color="auto"/>
          <w:color w:val="auto"/>
        </w:rPr>
        <w:t>Part 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6d</w:t>
      </w:r>
      <w:r>
        <w:rPr>
          <w:rFonts w:ascii="Times New Roman" w:cs="Times New Roman" w:eastAsia="Times New Roman" w:hAnsi="Times New Roman"/>
          <w:sz w:val="18"/>
          <w:szCs w:val="18"/>
          <w:color w:val="auto"/>
        </w:rPr>
        <w:t>, postpetition employer payroll taxes accrued and paid include both the employer and employee portions of payroll taxes.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7: Questionnaire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Regarding </w:t>
      </w:r>
      <w:r>
        <w:rPr>
          <w:rFonts w:ascii="Times New Roman" w:cs="Times New Roman" w:eastAsia="Times New Roman" w:hAnsi="Times New Roman"/>
          <w:sz w:val="18"/>
          <w:szCs w:val="18"/>
          <w:u w:val="single" w:color="auto"/>
          <w:color w:val="auto"/>
        </w:rPr>
        <w:t>Part 7a</w:t>
      </w:r>
      <w:r>
        <w:rPr>
          <w:rFonts w:ascii="Times New Roman" w:cs="Times New Roman" w:eastAsia="Times New Roman" w:hAnsi="Times New Roman"/>
          <w:sz w:val="18"/>
          <w:szCs w:val="18"/>
          <w:color w:val="auto"/>
        </w:rPr>
        <w:t>, and as mentioned above, the Debtor is authorized to pay certain prepetition claims and obligations pursuant to the First Day Orders.</w:t>
      </w:r>
    </w:p>
    <w:p>
      <w:pPr>
        <w:sectPr>
          <w:pgSz w:w="11900" w:h="16838" w:orient="portrait"/>
          <w:cols w:equalWidth="0" w:num="1">
            <w:col w:w="10940"/>
          </w:cols>
          <w:pgMar w:left="440" w:top="270" w:right="51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Regarding </w:t>
      </w:r>
      <w:r>
        <w:rPr>
          <w:rFonts w:ascii="Times New Roman" w:cs="Times New Roman" w:eastAsia="Times New Roman" w:hAnsi="Times New Roman"/>
          <w:sz w:val="18"/>
          <w:szCs w:val="18"/>
          <w:u w:val="single" w:color="auto"/>
          <w:color w:val="auto"/>
        </w:rPr>
        <w:t>Part 7g</w:t>
      </w:r>
      <w:r>
        <w:rPr>
          <w:rFonts w:ascii="Times New Roman" w:cs="Times New Roman" w:eastAsia="Times New Roman" w:hAnsi="Times New Roman"/>
          <w:sz w:val="18"/>
          <w:szCs w:val="18"/>
          <w:color w:val="auto"/>
        </w:rPr>
        <w:t>, the Debtor incurred $18 million in DIP Obligations under the Replacement DIP Facility during the Reporting Period. The DIP Obligations were paid by the Debtor or on the Debtor’s behalf to pay all outstanding obligations under the Initial DIP Facility and to fund the Debtor’s business operations and its chapter 11 case.</w:t>
      </w:r>
    </w:p>
    <w:p>
      <w:pPr>
        <w:sectPr>
          <w:pgSz w:w="11900" w:h="16838" w:orient="portrait"/>
          <w:cols w:equalWidth="0" w:num="1">
            <w:col w:w="10840"/>
          </w:cols>
          <w:pgMar w:left="440" w:top="270" w:right="61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Post-Petition Borrowing Activity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postpetition borrowing during the period of July 1, 2026 through July 31, 2026.</w:t>
      </w:r>
    </w:p>
    <w:p>
      <w:pPr>
        <w:spacing w:after="0" w:line="22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Interim Order (A) Authorizing the Debtor to Obtain Replacement Postpetition Financing, (B) Granting Liens and Providing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176] (the “</w:t>
      </w:r>
      <w:r>
        <w:rPr>
          <w:rFonts w:ascii="Times New Roman" w:cs="Times New Roman" w:eastAsia="Times New Roman" w:hAnsi="Times New Roman"/>
          <w:sz w:val="18"/>
          <w:szCs w:val="18"/>
          <w:b w:val="1"/>
          <w:bCs w:val="1"/>
          <w:color w:val="auto"/>
        </w:rPr>
        <w:t>Replacement Interim DIP Order</w:t>
      </w:r>
      <w:r>
        <w:rPr>
          <w:rFonts w:ascii="Times New Roman" w:cs="Times New Roman" w:eastAsia="Times New Roman" w:hAnsi="Times New Roman"/>
          <w:sz w:val="18"/>
          <w:szCs w:val="18"/>
          <w:color w:val="auto"/>
        </w:rPr>
        <w:t>”), the Debtor incurred $18 million in DIP Obligations under the Replacement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(each as defined in the Replacement Interim DIP Order) during the Reporting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on Prepetition Debt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All payments made by the Debtor during the Reporting Period (and included in the disbursements reported in this MOR) were authorized under various final orders granted by the Court, which authorized the Debtor’s various motions that were filed following the commencement of the chapter 11 case.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7(b) and 7(h) Payments Without Court Approval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Payments made by the Debtor to Rothwell, Figg, Ernst &amp; Manbeck, P.C. and Daijogo &amp; Pedersen, LLP were inadvertently made prior to such firm’s retention as ordinary course professionals in accordance with the OCP Order [Docket No. 202].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to Insiders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payments to insiders during the period of July 1, 2026 through July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insiders, all cash payments made were on account of ordinary course salaries and authorized travel and expense reimbursements.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 non-cash transfers were made during this reporting period.</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 bank statements and bank reconciliations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699516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0" w:lineRule="exact"/>
        <w:rPr>
          <w:sz w:val="20"/>
          <w:szCs w:val="20"/>
          <w:color w:val="auto"/>
        </w:rPr>
      </w:pPr>
    </w:p>
    <w:p>
      <w:pPr>
        <w:sectPr>
          <w:pgSz w:w="11900" w:h="16838" w:orient="portrait"/>
          <w:cols w:equalWidth="0" w:num="2">
            <w:col w:w="5340" w:space="40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Debtor hereby submits this attestation regarding bank account reconciliations in lieu of providing copies of bank statements, bank reconciliations, and journal entries.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Debtor’s standard practice is to ensure that bank reconciliations are completed as part of the month end close each reporting period. I attest that each of the Debtor’s bank accounts has been reconciled in accordance with their standard practices.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 #2 - Statement of cash receipts and disbursements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Units (i.e. $ in 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07/01/2026 -</w:t>
            </w:r>
          </w:p>
        </w:tc>
        <w:tc>
          <w:tcPr>
            <w:tcW w:w="60" w:type="dxa"/>
            <w:vAlign w:val="bottom"/>
          </w:tcPr>
          <w:p>
            <w:pPr>
              <w:spacing w:after="0"/>
              <w:rPr>
                <w:sz w:val="13"/>
                <w:szCs w:val="13"/>
                <w:color w:val="auto"/>
              </w:rPr>
            </w:pPr>
          </w:p>
        </w:tc>
      </w:tr>
      <w:tr>
        <w:trPr>
          <w:trHeight w:val="171"/>
        </w:trPr>
        <w:tc>
          <w:tcPr>
            <w:tcW w:w="4940" w:type="dxa"/>
            <w:vAlign w:val="bottom"/>
          </w:tcPr>
          <w:p>
            <w:pPr>
              <w:spacing w:after="0"/>
              <w:rPr>
                <w:sz w:val="14"/>
                <w:szCs w:val="14"/>
                <w:color w:val="auto"/>
              </w:rPr>
            </w:pP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07/31/2026</w:t>
            </w:r>
          </w:p>
        </w:tc>
        <w:tc>
          <w:tcPr>
            <w:tcW w:w="60" w:type="dxa"/>
            <w:vAlign w:val="bottom"/>
          </w:tcPr>
          <w:p>
            <w:pPr>
              <w:spacing w:after="0"/>
              <w:rPr>
                <w:sz w:val="14"/>
                <w:szCs w:val="14"/>
                <w:color w:val="auto"/>
              </w:rPr>
            </w:pPr>
          </w:p>
        </w:tc>
      </w:tr>
      <w:tr>
        <w:trPr>
          <w:trHeight w:val="196"/>
        </w:trPr>
        <w:tc>
          <w:tcPr>
            <w:tcW w:w="494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Receipts</w:t>
            </w:r>
          </w:p>
        </w:tc>
        <w:tc>
          <w:tcPr>
            <w:tcW w:w="5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Receipts</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DIP Draw</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Receipts</w:t>
            </w:r>
          </w:p>
        </w:tc>
        <w:tc>
          <w:tcPr>
            <w:tcW w:w="5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 Disbursements</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Payroll &amp; Benefits</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Rent &amp; Facilities</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Program Costs</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Operating Disbursements</w:t>
            </w:r>
          </w:p>
        </w:tc>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Operational Disbursements</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Disbursements</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Trustee Fees</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DIP Interest &amp; Fees</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DIP Repayments</w:t>
            </w:r>
          </w:p>
        </w:tc>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Disbursements</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14,382</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5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16,907</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5440" w:type="dxa"/>
            <w:vAlign w:val="bottom"/>
            <w:gridSpan w:val="2"/>
          </w:tcPr>
          <w:p>
            <w:pPr>
              <w:jc w:val="right"/>
              <w:ind w:right="4576"/>
              <w:spacing w:after="0"/>
              <w:rPr>
                <w:sz w:val="20"/>
                <w:szCs w:val="20"/>
                <w:color w:val="auto"/>
              </w:rPr>
            </w:pPr>
            <w:r>
              <w:rPr>
                <w:rFonts w:ascii="Times New Roman" w:cs="Times New Roman" w:eastAsia="Times New Roman" w:hAnsi="Times New Roman"/>
                <w:sz w:val="18"/>
                <w:szCs w:val="18"/>
                <w:color w:val="auto"/>
              </w:rPr>
              <w:t>1 of 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#2 - Balance sheet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Units (i.e. $ in 000s)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6/30/2026</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7/31/2026</w:t>
            </w:r>
          </w:p>
        </w:tc>
        <w:tc>
          <w:tcPr>
            <w:tcW w:w="12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2,977</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Receivables - Current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18,186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20,387</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9,430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115,762</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Receivables - Non-Current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6,067</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134,731</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155,118</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 and 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36,735</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17,304</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DIP Loan Payables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8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Current Liabilities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8,713</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Current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42,687</w:t>
            </w:r>
          </w:p>
        </w:tc>
      </w:tr>
      <w:tr>
        <w:trPr>
          <w:trHeight w:val="216"/>
        </w:trPr>
        <w:tc>
          <w:tcPr>
            <w:tcW w:w="88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Non-Current Liabilities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Non-Current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147,383</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1,643,342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1,643,342</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w w:val="97"/>
              </w:rPr>
              <w:t>(1,564,836)</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(1,564,836)</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Equity</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(55,834)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(70,741)</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22,642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7,735</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155,118</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3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Deferred Revenues and Lease Liabilities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of 4</w:t>
      </w:r>
    </w:p>
    <w:p>
      <w:pPr>
        <w:sectPr>
          <w:pgSz w:w="11900" w:h="16838" w:orient="portrait"/>
          <w:cols w:equalWidth="0" w:num="1">
            <w:col w:w="11024"/>
          </w:cols>
          <w:pgMar w:left="436" w:top="266" w:right="43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#2 - Statement of operations (profit or loss statement)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Units (i.e. $ in 000s)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16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07/01/2026 -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101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07/31/2026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10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10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COGS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19"/>
                <w:szCs w:val="19"/>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720</w:t>
            </w:r>
          </w:p>
        </w:tc>
      </w:tr>
      <w:tr>
        <w:trPr>
          <w:trHeight w:val="216"/>
        </w:trPr>
        <w:tc>
          <w:tcPr>
            <w:tcW w:w="101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Personnel &amp; Staffing Costs</w:t>
            </w:r>
            <w:r>
              <w:rPr>
                <w:rFonts w:ascii="Times New Roman" w:cs="Times New Roman" w:eastAsia="Times New Roman" w:hAnsi="Times New Roman"/>
                <w:sz w:val="25"/>
                <w:szCs w:val="25"/>
                <w:color w:val="auto"/>
                <w:vertAlign w:val="superscript"/>
              </w:rPr>
              <w:t>1</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10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R&amp;D Expenses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8"/>
                <w:szCs w:val="18"/>
                <w:color w:val="auto"/>
              </w:rPr>
            </w:pPr>
          </w:p>
        </w:tc>
      </w:tr>
      <w:tr>
        <w:trPr>
          <w:trHeight w:val="216"/>
        </w:trPr>
        <w:tc>
          <w:tcPr>
            <w:tcW w:w="10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101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Facilities &amp; OH Expenses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10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I/C Expenses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101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10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1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Restructuring Expenses</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8"/>
                <w:szCs w:val="18"/>
                <w:color w:val="auto"/>
              </w:rPr>
            </w:pPr>
          </w:p>
        </w:tc>
      </w:tr>
      <w:tr>
        <w:trPr>
          <w:trHeight w:val="216"/>
        </w:trPr>
        <w:tc>
          <w:tcPr>
            <w:tcW w:w="10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and/or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10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FX (Gain)/Loss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10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10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(Income)/Expense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3"/>
        </w:trPr>
        <w:tc>
          <w:tcPr>
            <w:tcW w:w="10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11,165</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0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3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under “General and Administrative Expenses” for MOR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2Considered under “Other Expenses” for MOR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3Includes professional fees and DIP loan fees accruals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 of 4</w:t>
      </w:r>
    </w:p>
    <w:p>
      <w:pPr>
        <w:sectPr>
          <w:pgSz w:w="11900" w:h="16838" w:orient="portrait"/>
          <w:cols w:equalWidth="0" w:num="1">
            <w:col w:w="11024"/>
          </w:cols>
          <w:pgMar w:left="436" w:top="266"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 #2 - Detailed explanations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2 - Question C -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Sangamo does not hold inventory; therefore, no inventory valuation method is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7 - Question G - Was there any postpetition borrowing, other than trade credit?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Detail</w:t>
            </w:r>
          </w:p>
        </w:tc>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40" w:type="dxa"/>
            <w:vAlign w:val="bottom"/>
            <w:gridSpan w:val="3"/>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rPr>
              <w:t>Payee/Lender Name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DIP Replacement - Future Solutions Invenstment</w:t>
            </w:r>
          </w:p>
        </w:tc>
        <w:tc>
          <w:tcPr>
            <w:tcW w:w="9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7/24/2026</w:t>
            </w:r>
          </w:p>
        </w:tc>
        <w:tc>
          <w:tcPr>
            <w:tcW w:w="2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Future Solution Investments LLC</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365"/>
        </w:trPr>
        <w:tc>
          <w:tcPr>
            <w:tcW w:w="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4 of 4</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26-10989-CTG Sangamo Therapeutics, Inc.</w:t>
      </w:r>
    </w:p>
    <w:p>
      <w:pPr>
        <w:sectPr>
          <w:pgSz w:w="11900" w:h="16838" w:orient="portrait"/>
          <w:cols w:equalWidth="0" w:num="1">
            <w:col w:w="10740"/>
          </w:cols>
          <w:pgMar w:left="440" w:top="266" w:right="71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bk</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Chapter: 11 v</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1 (Delaware)</w:t>
      </w:r>
    </w:p>
    <w:p>
      <w:pPr>
        <w:spacing w:after="0" w:line="129" w:lineRule="exact"/>
        <w:rPr>
          <w:sz w:val="20"/>
          <w:szCs w:val="20"/>
          <w:color w:val="auto"/>
        </w:rPr>
      </w:pPr>
    </w:p>
    <w:p>
      <w:pPr>
        <w:sectPr>
          <w:pgSz w:w="11900" w:h="16838" w:orient="portrait"/>
          <w:cols w:equalWidth="0" w:num="3">
            <w:col w:w="2480" w:space="720"/>
            <w:col w:w="1820" w:space="720"/>
            <w:col w:w="5000"/>
          </w:cols>
          <w:pgMar w:left="440" w:top="266" w:right="71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Assets: 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Judge: CTG</w:t>
      </w:r>
    </w:p>
    <w:p>
      <w:pPr>
        <w:spacing w:after="0" w:line="200" w:lineRule="exact"/>
        <w:rPr>
          <w:sz w:val="20"/>
          <w:szCs w:val="20"/>
          <w:color w:val="auto"/>
        </w:rPr>
      </w:pPr>
    </w:p>
    <w:p>
      <w:pPr>
        <w:sectPr>
          <w:pgSz w:w="11900" w:h="16838" w:orient="portrait"/>
          <w:cols w:equalWidth="0" w:num="2">
            <w:col w:w="2480" w:space="720"/>
            <w:col w:w="7540"/>
          </w:cols>
          <w:pgMar w:left="440" w:top="266" w:right="71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Flag: CLMSAGNT, LeadSC, PlnDue, DsclsDue, STANDOrder, SealedDoc(s)</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 Bankruptcy Court</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District of Delaware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Electronic Filing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 was received from James McCauley entered on 10/23/2026 at 12:33 PM EDT and filed on 10/23/2026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Case Name:</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Sangamo Therapeutics, Inc.</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Case Number:</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26- 10989-CTG</w:t>
            </w:r>
          </w:p>
        </w:tc>
      </w:tr>
      <w:tr>
        <w:trPr>
          <w:trHeight w:val="304"/>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 Number:</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537</w:t>
            </w:r>
          </w:p>
        </w:tc>
        <w:tc>
          <w:tcPr>
            <w:tcW w:w="8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Docket Text: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Amended Chapter 11 Monthly Operating Report for the Month Ending: 07/31/2026 (related document(s)[427]) Filed by Sangamo Therapeutics, Inc.. (McCauley, James)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associated with this transaction: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description: </w:t>
      </w:r>
      <w:r>
        <w:rPr>
          <w:rFonts w:ascii="Times New Roman" w:cs="Times New Roman" w:eastAsia="Times New Roman" w:hAnsi="Times New Roman"/>
          <w:sz w:val="18"/>
          <w:szCs w:val="18"/>
          <w:color w:val="auto"/>
        </w:rPr>
        <w:t>Main Document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Original filename: </w:t>
      </w:r>
      <w:r>
        <w:rPr>
          <w:rFonts w:ascii="Times New Roman" w:cs="Times New Roman" w:eastAsia="Times New Roman" w:hAnsi="Times New Roman"/>
          <w:sz w:val="18"/>
          <w:szCs w:val="18"/>
          <w:color w:val="auto"/>
        </w:rPr>
        <w:t>SGMO - July 2026 MOR [AMENDED]. pdf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document Stamp:</w:t>
      </w:r>
    </w:p>
    <w:p>
      <w:pPr>
        <w:spacing w:after="0" w:line="9" w:lineRule="exact"/>
        <w:rPr>
          <w:sz w:val="20"/>
          <w:szCs w:val="20"/>
          <w:color w:val="auto"/>
        </w:rPr>
      </w:pPr>
    </w:p>
    <w:p>
      <w:pPr>
        <w:ind w:right="4720"/>
        <w:spacing w:after="0" w:line="277" w:lineRule="auto"/>
        <w:rPr>
          <w:sz w:val="20"/>
          <w:szCs w:val="20"/>
          <w:color w:val="auto"/>
        </w:rPr>
      </w:pPr>
      <w:r>
        <w:rPr>
          <w:rFonts w:ascii="Times New Roman" w:cs="Times New Roman" w:eastAsia="Times New Roman" w:hAnsi="Times New Roman"/>
          <w:sz w:val="17"/>
          <w:szCs w:val="17"/>
          <w:color w:val="auto"/>
        </w:rPr>
        <w:t>[STAMP bkecfStamp_ID=983460418 [Date=10/23/2026] [FileNumber=20049499-0] [11 553d83764abea0bc846f63b121877f75bdf5cf7446f5ff90d993f070d73eec6a 4de2e06f9b7441c242c2714f7cd0e0554586255ef2836d209d30badcd0adee]]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26-10989-CTG Notice will be electronically mailed 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A. Adlerstein on behalf of Interested Party Eli Lilly and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jadlerstein@paulweiss.com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Elihu Ezekiel Allinson, III on behalf of Interested Party Shire Human Genetic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ZAllinson@SHA-LLC.com, ecf@williamdsullivanllc.com; hcoleman@sha-llc.com</w:t>
      </w:r>
    </w:p>
    <w:p>
      <w:pPr>
        <w:spacing w:after="0" w:line="99" w:lineRule="exact"/>
        <w:rPr>
          <w:sz w:val="20"/>
          <w:szCs w:val="20"/>
          <w:color w:val="auto"/>
        </w:rPr>
      </w:pPr>
    </w:p>
    <w:p>
      <w:pPr>
        <w:ind w:right="4900"/>
        <w:spacing w:after="0" w:line="312" w:lineRule="auto"/>
        <w:rPr>
          <w:sz w:val="20"/>
          <w:szCs w:val="20"/>
          <w:color w:val="auto"/>
        </w:rPr>
      </w:pPr>
      <w:r>
        <w:rPr>
          <w:rFonts w:ascii="Times New Roman" w:cs="Times New Roman" w:eastAsia="Times New Roman" w:hAnsi="Times New Roman"/>
          <w:sz w:val="17"/>
          <w:szCs w:val="17"/>
          <w:color w:val="auto"/>
        </w:rPr>
        <w:t>Olya Antle on behalf of Debtor Sangamo Therapeutics, Inc. oantle@cooley.com, efilingnotice@cooley.com;efiling-notice@ecf.pacerpro.com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 Argentina, Jr. on behalf of Creditor VWR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argentina@faegredrinker.com, cathy.greer@faegredrinker.com</w:t>
      </w:r>
    </w:p>
    <w:p>
      <w:pPr>
        <w:spacing w:after="0" w:line="99" w:lineRule="exact"/>
        <w:rPr>
          <w:sz w:val="20"/>
          <w:szCs w:val="20"/>
          <w:color w:val="auto"/>
        </w:rPr>
      </w:pPr>
    </w:p>
    <w:p>
      <w:pPr>
        <w:ind w:right="1860"/>
        <w:spacing w:after="0" w:line="282" w:lineRule="auto"/>
        <w:rPr>
          <w:sz w:val="20"/>
          <w:szCs w:val="20"/>
          <w:color w:val="auto"/>
        </w:rPr>
      </w:pPr>
      <w:r>
        <w:rPr>
          <w:rFonts w:ascii="Times New Roman" w:cs="Times New Roman" w:eastAsia="Times New Roman" w:hAnsi="Times New Roman"/>
          <w:sz w:val="18"/>
          <w:szCs w:val="18"/>
          <w:color w:val="auto"/>
        </w:rPr>
        <w:t>Darren Azman on behalf of Creditor Committee Official Committee of Unsecured Creditors of Sangamo Therapeutics, Inc. dazman@mcdermottlaw.com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Brooks on behalf of Interested Party PTC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brooks@lrclaw.com, ramirez@lrclaw.com;huynh@lrclaw.com;hitchens@lrclaw.com;ford@lrclaw.com;kittinger@lrclaw.com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R. Buck on behalf of Interested Party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kbuck@mccarter. 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J. Casey on behalf of U.S. Trustee U.S.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Linda.Casey@usdoj.gov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Chavez on behalf of Interested Party PTC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austin.chavez@wilmerhale.com, Mike.McGuinness@wilmerhale.com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M. Christianson on behalf of Creditor Oracle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schristianson@buchalter.com, cmcintire@buchalter.com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Copeland on behalf of Interested Party Northridge ATM,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james.copeland@nortonrosefulbright.com</w:t>
      </w:r>
    </w:p>
    <w:p>
      <w:pPr>
        <w:spacing w:after="0" w:line="99" w:lineRule="exact"/>
        <w:rPr>
          <w:sz w:val="20"/>
          <w:szCs w:val="20"/>
          <w:color w:val="auto"/>
        </w:rPr>
      </w:pPr>
    </w:p>
    <w:p>
      <w:pPr>
        <w:ind w:right="4680"/>
        <w:spacing w:after="0" w:line="312" w:lineRule="auto"/>
        <w:rPr>
          <w:sz w:val="20"/>
          <w:szCs w:val="20"/>
          <w:color w:val="auto"/>
        </w:rPr>
      </w:pPr>
      <w:r>
        <w:rPr>
          <w:rFonts w:ascii="Times New Roman" w:cs="Times New Roman" w:eastAsia="Times New Roman" w:hAnsi="Times New Roman"/>
          <w:sz w:val="17"/>
          <w:szCs w:val="17"/>
          <w:color w:val="auto"/>
        </w:rPr>
        <w:t>Kristin Cunningham on behalf of Debtor Sangamo Therapeutics, Inc. cunningham@rlf.com, rbgroup@rlf.com; rebecca--speaker-6328@ecf.pacerpro.com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DeFranceschi on behalf of Debtor 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defranceschi@rlf.com, RBGroup@rlf.com;ann-jerominski-2390@ecf.pacerpro.com;rebecca--speaker-6328@ecf.pacerpro.com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Dehney on behalf of Interested Party Eli Lilly and Company</w:t>
      </w:r>
    </w:p>
    <w:p>
      <w:pPr>
        <w:spacing w:after="0" w:line="27" w:lineRule="exact"/>
        <w:rPr>
          <w:sz w:val="20"/>
          <w:szCs w:val="20"/>
          <w:color w:val="auto"/>
        </w:rPr>
      </w:pPr>
    </w:p>
    <w:p>
      <w:pPr>
        <w:ind w:right="2320"/>
        <w:spacing w:after="0" w:line="260" w:lineRule="auto"/>
        <w:rPr>
          <w:sz w:val="20"/>
          <w:szCs w:val="20"/>
          <w:color w:val="auto"/>
        </w:rPr>
      </w:pPr>
      <w:r>
        <w:rPr>
          <w:rFonts w:ascii="Times New Roman" w:cs="Times New Roman" w:eastAsia="Times New Roman" w:hAnsi="Times New Roman"/>
          <w:sz w:val="18"/>
          <w:szCs w:val="18"/>
          <w:color w:val="auto"/>
        </w:rPr>
        <w:t>rdehney@morrisnichols.com, robert-dehney-4464@ecf.pacerpro.com;jlawrence@morrisnichols.com;john-lawrence-0804@ecf.pacerpro.com;rchevli@morrisnichols.com;radha--chevli--2257@ecf.pacerpro.com</w:t>
      </w:r>
    </w:p>
    <w:p>
      <w:pPr>
        <w:spacing w:after="0" w:line="73" w:lineRule="exact"/>
        <w:rPr>
          <w:sz w:val="20"/>
          <w:szCs w:val="20"/>
          <w:color w:val="auto"/>
        </w:rPr>
      </w:pPr>
    </w:p>
    <w:p>
      <w:pPr>
        <w:ind w:right="4440"/>
        <w:spacing w:after="0" w:line="312" w:lineRule="auto"/>
        <w:rPr>
          <w:sz w:val="20"/>
          <w:szCs w:val="20"/>
          <w:color w:val="auto"/>
        </w:rPr>
      </w:pPr>
      <w:r>
        <w:rPr>
          <w:rFonts w:ascii="Times New Roman" w:cs="Times New Roman" w:eastAsia="Times New Roman" w:hAnsi="Times New Roman"/>
          <w:sz w:val="17"/>
          <w:szCs w:val="17"/>
          <w:color w:val="auto"/>
        </w:rPr>
        <w:t>Brenna Anne Dolphin on behalf of Interested Party Eli Lilly and Company bdolphin@morrisnichols.com, brenna-dolphin-9491@ecf.pacerpro.com;john-lawrence-</w:t>
      </w:r>
    </w:p>
    <w:p>
      <w:pPr>
        <w:sectPr>
          <w:pgSz w:w="11900" w:h="16838" w:orient="portrait"/>
          <w:cols w:equalWidth="0" w:num="1">
            <w:col w:w="10740"/>
          </w:cols>
          <w:pgMar w:left="440" w:top="266" w:right="719" w:bottom="0" w:gutter="0" w:footer="0" w:header="0"/>
          <w:type w:val="continuous"/>
        </w:sectPr>
      </w:pPr>
    </w:p>
    <w:bookmarkStart w:id="31" w:name="page32"/>
    <w:bookmarkEnd w:id="31"/>
    <w:p>
      <w:pPr>
        <w:ind w:right="1019"/>
        <w:spacing w:after="0" w:line="407" w:lineRule="auto"/>
        <w:rPr>
          <w:sz w:val="20"/>
          <w:szCs w:val="20"/>
          <w:color w:val="auto"/>
        </w:rPr>
      </w:pPr>
      <w:r>
        <w:rPr>
          <w:rFonts w:ascii="Times New Roman" w:cs="Times New Roman" w:eastAsia="Times New Roman" w:hAnsi="Times New Roman"/>
          <w:sz w:val="18"/>
          <w:szCs w:val="18"/>
          <w:color w:val="auto"/>
        </w:rPr>
        <w:t>0804@ecf.pacerpro.com;jlawrence@morrisnichols.com;rchevli@morrisnichols.com;radha--chevli--2257@ecf.pacerpro.com Andrew C. Ehrmann on behalf of Interested Party Northridge ATM, LLC</w:t>
      </w:r>
    </w:p>
    <w:p>
      <w:pPr>
        <w:sectPr>
          <w:pgSz w:w="11900" w:h="16838" w:orient="portrait"/>
          <w:cols w:equalWidth="0" w:num="1">
            <w:col w:w="10019"/>
          </w:cols>
          <w:pgMar w:left="440" w:top="121" w:right="1440" w:bottom="1440" w:gutter="0" w:footer="0" w:header="0"/>
        </w:sectPr>
      </w:pPr>
    </w:p>
    <w:bookmarkStart w:id="32" w:name="page33"/>
    <w:bookmarkEnd w:id="32"/>
    <w:tbl>
      <w:tblPr>
        <w:tblLayout w:type="fixed"/>
        <w:tblInd w:w="4"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w w:val="98"/>
              </w:rPr>
              <w:t>Exhibit 99.2</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UNITED STATES BANKRUPTCY COURT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DISTRICT OF DELAWARE</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Re. SANGAMO THERAPEUTICS, INC.</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Case No. 26-10989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70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Debtor(s)</w:t>
            </w: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3"/>
            <w:vMerge w:val="restart"/>
          </w:tcPr>
          <w:p>
            <w:pPr>
              <w:ind w:left="2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Jointly Administered</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Amended Monthly Operating Report</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w w:val="98"/>
              </w:rPr>
              <w:t>Chapter 11</w:t>
            </w:r>
          </w:p>
        </w:tc>
        <w:tc>
          <w:tcPr>
            <w:tcW w:w="0" w:type="dxa"/>
            <w:vAlign w:val="bottom"/>
          </w:tcPr>
          <w:p>
            <w:pPr>
              <w:spacing w:after="0"/>
              <w:rPr>
                <w:sz w:val="1"/>
                <w:szCs w:val="1"/>
                <w:color w:val="auto"/>
              </w:rPr>
            </w:pPr>
          </w:p>
        </w:tc>
      </w:tr>
      <w:tr>
        <w:trPr>
          <w:trHeight w:val="30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Reporting Period Ended: 08/31/2026       </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96"/>
              </w:rPr>
              <w:t>   </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Petition Date: 06/23/2026</w:t>
            </w:r>
          </w:p>
        </w:tc>
        <w:tc>
          <w:tcPr>
            <w:tcW w:w="0" w:type="dxa"/>
            <w:vAlign w:val="bottom"/>
          </w:tcPr>
          <w:p>
            <w:pPr>
              <w:spacing w:after="0"/>
              <w:rPr>
                <w:sz w:val="1"/>
                <w:szCs w:val="1"/>
                <w:color w:val="auto"/>
              </w:rPr>
            </w:pPr>
          </w:p>
        </w:tc>
      </w:tr>
      <w:tr>
        <w:trPr>
          <w:trHeight w:val="32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Months Pending: 2             </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8"/>
                <w:szCs w:val="18"/>
                <w:color w:val="auto"/>
                <w:w w:val="96"/>
              </w:rPr>
              <w:t>   </w:t>
            </w:r>
          </w:p>
        </w:tc>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Industry Classification: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Method:</w:t>
            </w: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Accrual Basis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gridSpan w:val="3"/>
            <w:vMerge w:val="restart"/>
          </w:tcPr>
          <w:p>
            <w:pPr>
              <w:ind w:left="23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Debtor’s Full-Time Employees (current):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w w:val="88"/>
              </w:rPr>
              <w:t>73</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Debtor’s Full-Time Employees (as of date of order for relief):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w w:val="88"/>
              </w:rPr>
              <w:t>74</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-899795</wp:posOffset>
            </wp:positionV>
            <wp:extent cx="1036955"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36955" cy="19685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-599440</wp:posOffset>
            </wp:positionV>
            <wp:extent cx="15430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-599440</wp:posOffset>
            </wp:positionV>
            <wp:extent cx="14605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Supporting Documentation </w:t>
      </w:r>
      <w:r>
        <w:rPr>
          <w:rFonts w:ascii="Times New Roman" w:cs="Times New Roman" w:eastAsia="Times New Roman" w:hAnsi="Times New Roman"/>
          <w:sz w:val="18"/>
          <w:szCs w:val="18"/>
          <w:color w:val="auto"/>
        </w:rPr>
        <w:t>(check all that are attached):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jointly administered debtors, any required schedules must be provided on a non-consolidated basis for each debtor)</w:t>
      </w:r>
    </w:p>
    <w:p>
      <w:pPr>
        <w:spacing w:after="0" w:line="131" w:lineRule="exact"/>
        <w:rPr>
          <w:sz w:val="20"/>
          <w:szCs w:val="20"/>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cash receipts and disbursements</w:t>
      </w:r>
    </w:p>
    <w:p>
      <w:pPr>
        <w:spacing w:after="0" w:line="29"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 sheet containing the summary and detail of the assets, liabilities and equity (net worth) or deficit</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operations (profit or loss statement)</w:t>
      </w:r>
    </w:p>
    <w:p>
      <w:pPr>
        <w:spacing w:after="0" w:line="2" w:lineRule="exact"/>
        <w:rPr>
          <w:sz w:val="20"/>
          <w:szCs w:val="20"/>
          <w:color w:val="auto"/>
        </w:rPr>
      </w:pPr>
    </w:p>
    <w:p>
      <w:pPr>
        <w:ind w:left="424" w:hanging="424"/>
        <w:spacing w:after="0"/>
        <w:tabs>
          <w:tab w:leader="none" w:pos="424"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Accounts receivable aging</w:t>
      </w:r>
    </w:p>
    <w:p>
      <w:pPr>
        <w:spacing w:after="0" w:line="15" w:lineRule="exact"/>
        <w:rPr>
          <w:rFonts w:ascii="MS PGothic" w:cs="MS PGothic" w:eastAsia="MS PGothic" w:hAnsi="MS PGothic"/>
          <w:sz w:val="18"/>
          <w:szCs w:val="18"/>
          <w:color w:val="auto"/>
        </w:rPr>
      </w:pPr>
    </w:p>
    <w:p>
      <w:pPr>
        <w:ind w:left="424" w:hanging="424"/>
        <w:spacing w:after="0"/>
        <w:tabs>
          <w:tab w:leader="none" w:pos="424"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Postpetition liabilities aging</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capital assets</w:t>
      </w:r>
    </w:p>
    <w:p>
      <w:pPr>
        <w:spacing w:after="0" w:line="9" w:lineRule="exact"/>
        <w:rPr>
          <w:rFonts w:ascii="MS PGothic" w:cs="MS PGothic" w:eastAsia="MS PGothic" w:hAnsi="MS PGothic"/>
          <w:sz w:val="18"/>
          <w:szCs w:val="18"/>
          <w:color w:val="auto"/>
        </w:rPr>
      </w:pPr>
    </w:p>
    <w:p>
      <w:pPr>
        <w:ind w:left="4" w:right="7820" w:hanging="4"/>
        <w:spacing w:after="0" w:line="216" w:lineRule="exact"/>
        <w:tabs>
          <w:tab w:leader="none" w:pos="436"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Schedule of payments to professionals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Schedule of payments to insiders</w:t>
      </w:r>
    </w:p>
    <w:p>
      <w:pPr>
        <w:ind w:left="4"/>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 bank statements and bank reconciliations for the reporting period</w:t>
      </w:r>
    </w:p>
    <w:p>
      <w:pPr>
        <w:spacing w:after="0" w:line="9" w:lineRule="exact"/>
        <w:rPr>
          <w:rFonts w:ascii="MS PGothic" w:cs="MS PGothic" w:eastAsia="MS PGothic" w:hAnsi="MS PGothic"/>
          <w:sz w:val="17"/>
          <w:szCs w:val="17"/>
          <w:color w:val="auto"/>
        </w:rPr>
      </w:pPr>
    </w:p>
    <w:p>
      <w:pPr>
        <w:ind w:left="4"/>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Description of the assets sold or transferred and the terms of the sale or transfer</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230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31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10/23/2026</w:t>
            </w:r>
          </w:p>
        </w:tc>
        <w:tc>
          <w:tcPr>
            <w:tcW w:w="23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9"/>
        </w:trPr>
        <w:tc>
          <w:tcPr>
            <w:tcW w:w="4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501 Canal Blvd., Suite A100 Richmond, CA 94804</w:t>
            </w:r>
          </w:p>
        </w:tc>
      </w:tr>
      <w:tr>
        <w:trPr>
          <w:trHeight w:val="228"/>
        </w:trPr>
        <w:tc>
          <w:tcPr>
            <w:tcW w:w="4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r>
    </w:tbl>
    <w:p>
      <w:pPr>
        <w:spacing w:after="0" w:line="22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STATEMENT: This Periodic Report is associated with an open bankruptcy case; therefore, Paperwork Reduction Act exemption 5 C.F.R. §1320.4(a)(2) applies.</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Docket No. 538</w:t>
            </w:r>
          </w:p>
        </w:tc>
      </w:tr>
      <w:tr>
        <w:trPr>
          <w:trHeight w:val="24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376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10/23/26</w:t>
            </w:r>
          </w:p>
        </w:tc>
      </w:tr>
    </w:tbl>
    <w:p>
      <w:pPr>
        <w:sectPr>
          <w:pgSz w:w="11900" w:h="16838" w:orient="portrait"/>
          <w:cols w:equalWidth="0" w:num="1">
            <w:col w:w="11024"/>
          </w:cols>
          <w:pgMar w:left="436" w:top="117" w:right="4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Debtor’s Name SANGAMO THERAPEUTICS, INC.</w:t>
            </w: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297"/>
        </w:trPr>
        <w:tc>
          <w:tcPr>
            <w:tcW w:w="2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1: Cash Receipts and Disbursements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2680" w:type="dxa"/>
            <w:vAlign w:val="bottom"/>
            <w:gridSpan w:val="4"/>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Cash balance beginning of month</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16,906,954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Total receipts (net of transfers between accounts)</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10,145,433</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38,707,494</w:t>
            </w:r>
          </w:p>
        </w:tc>
      </w:tr>
      <w:tr>
        <w:trPr>
          <w:trHeight w:val="27"/>
        </w:trPr>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disbursements (net of transfers between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3,826,691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20,338,902</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balance end of month (a+b-c)</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23,225,696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Disbursements made by third party for the benefit of the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1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Total disbursements for quarterly fee calculation (c+e)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20,338,902</w:t>
            </w:r>
          </w:p>
        </w:tc>
        <w:tc>
          <w:tcPr>
            <w:tcW w:w="220" w:type="dxa"/>
            <w:vAlign w:val="bottom"/>
          </w:tcPr>
          <w:p>
            <w:pPr>
              <w:spacing w:after="0"/>
              <w:rPr>
                <w:sz w:val="19"/>
                <w:szCs w:val="19"/>
                <w:color w:val="auto"/>
              </w:rPr>
            </w:pPr>
          </w:p>
        </w:tc>
      </w:tr>
      <w:tr>
        <w:trPr>
          <w:trHeight w:val="349"/>
        </w:trPr>
        <w:tc>
          <w:tcPr>
            <w:tcW w:w="2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2: Asset and Liability Status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3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(Not generally applicable to Individual Debtors. See Instructions.)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3640" w:type="dxa"/>
            <w:vAlign w:val="bottom"/>
            <w:tcBorders>
              <w:top w:val="single" w:sz="8" w:color="CCEEFF"/>
            </w:tcBorders>
            <w:gridSpan w:val="6"/>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Accounts receivable (total net of allowance)</w:t>
            </w:r>
          </w:p>
        </w:tc>
        <w:tc>
          <w:tcPr>
            <w:tcW w:w="10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90,355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Accounts receivable over 90 days outstanding (net of allowance)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(Book </w:t>
            </w:r>
          </w:p>
        </w:tc>
        <w:tc>
          <w:tcPr>
            <w:tcW w:w="1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Market </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440" w:type="dxa"/>
            <w:vAlign w:val="bottom"/>
            <w:shd w:val="clear" w:color="auto" w:fill="CCEEFF"/>
          </w:tcPr>
          <w:p>
            <w:pPr>
              <w:jc w:val="right"/>
              <w:ind w:right="2830"/>
              <w:spacing w:after="0"/>
              <w:rPr>
                <w:sz w:val="20"/>
                <w:szCs w:val="20"/>
                <w:color w:val="auto"/>
              </w:rPr>
            </w:pPr>
            <w:r>
              <w:rPr>
                <w:rFonts w:ascii="Times New Roman" w:cs="Times New Roman" w:eastAsia="Times New Roman" w:hAnsi="Times New Roman"/>
                <w:sz w:val="18"/>
                <w:szCs w:val="18"/>
                <w:color w:val="auto"/>
              </w:rPr>
              <w:t>(attach explanation))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25,398,606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147,881,705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6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Postpetition payables (excluding taxes)</w:t>
            </w: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28,270,062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36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Postpetition payables past due (excluding taxes)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768,173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Postpetition taxes payable</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Postpetition taxes past due</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postpetition debt (f+h)</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28,578,222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secured debt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l.</w:t>
            </w: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Prepetition priority debt</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unsecured debt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78,651,484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n.</w:t>
            </w: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liabilities (debt) (j+k+l+m)</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107,262,249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equity/net worth (e-n)</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92"/>
        </w:trPr>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Part 3: Assets Sold or Transferred</w:t>
            </w:r>
          </w:p>
        </w:tc>
        <w:tc>
          <w:tcPr>
            <w:tcW w:w="8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8"/>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cash sales price for assets sold/transferred outside the ordinary course of business</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2,300,000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Total payments to third parties incident to assets being sold/transferred outside the ordinary course of business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proceeds from assets sold/transferred outside the ordinary course of business (a-b)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2,300,000</w:t>
            </w:r>
          </w:p>
        </w:tc>
      </w:tr>
      <w:tr>
        <w:trPr>
          <w:trHeight w:val="349"/>
        </w:trPr>
        <w:tc>
          <w:tcPr>
            <w:tcW w:w="38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Part 4: Income Statement (Statement of Operations)</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3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(Not generally applicable to Individual Debtors. See Instructions.)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3740" w:type="dxa"/>
            <w:vAlign w:val="bottom"/>
            <w:tcBorders>
              <w:top w:val="single" w:sz="8" w:color="CCEEFF"/>
            </w:tcBorders>
            <w:gridSpan w:val="7"/>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Gross income/sales (net of returns and allowances)</w:t>
            </w:r>
          </w:p>
        </w:tc>
        <w:tc>
          <w:tcPr>
            <w:tcW w:w="4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430,190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Cost of goods sold (inclusive of depreciation, if applicable)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(a-b)</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expenses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General and administrative expenses</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3,679,482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8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and/or amortization (not included in 4b)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6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(local, state, and federal)</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Reorganization items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9,979,799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(loss)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-14,449,029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-29,369,386</w:t>
            </w:r>
          </w:p>
        </w:tc>
      </w:tr>
      <w:tr>
        <w:trPr>
          <w:trHeight w:val="372"/>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-5039995</wp:posOffset>
            </wp:positionV>
            <wp:extent cx="14541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-5039995</wp:posOffset>
            </wp:positionV>
            <wp:extent cx="14541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-5039995</wp:posOffset>
            </wp:positionV>
            <wp:extent cx="15430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c>
          <w:tcPr>
            <w:tcW w:w="0" w:type="dxa"/>
            <w:vAlign w:val="bottom"/>
          </w:tcPr>
          <w:p>
            <w:pPr>
              <w:spacing w:after="0"/>
              <w:rPr>
                <w:sz w:val="1"/>
                <w:szCs w:val="1"/>
                <w:color w:val="auto"/>
              </w:rPr>
            </w:pPr>
          </w:p>
        </w:tc>
      </w:tr>
      <w:tr>
        <w:trPr>
          <w:trHeight w:val="148"/>
        </w:trPr>
        <w:tc>
          <w:tcPr>
            <w:tcW w:w="538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Borders>
              <w:left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Part 5: Professional Fees and Expenses</w:t>
            </w: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 w:type="dxa"/>
            <w:vAlign w:val="bottom"/>
            <w:tcBorders>
              <w:left w:val="single" w:sz="8" w:color="auto"/>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860" w:type="dxa"/>
            <w:vAlign w:val="bottom"/>
            <w:tcBorders>
              <w:right w:val="single" w:sz="8" w:color="auto"/>
            </w:tcBorders>
          </w:tcPr>
          <w:p>
            <w:pPr>
              <w:jc w:val="center"/>
              <w:ind w:left="11"/>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92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Paid Current</w:t>
            </w:r>
          </w:p>
        </w:tc>
        <w:tc>
          <w:tcPr>
            <w:tcW w:w="920" w:type="dxa"/>
            <w:vAlign w:val="bottom"/>
            <w:tcBorders>
              <w:right w:val="single" w:sz="8" w:color="auto"/>
            </w:tcBorders>
          </w:tcPr>
          <w:p>
            <w:pPr>
              <w:jc w:val="right"/>
              <w:ind w:right="258"/>
              <w:spacing w:after="0" w:line="119" w:lineRule="exact"/>
              <w:rPr>
                <w:sz w:val="20"/>
                <w:szCs w:val="20"/>
                <w:color w:val="auto"/>
              </w:rPr>
            </w:pPr>
            <w:r>
              <w:rPr>
                <w:rFonts w:ascii="Times New Roman" w:cs="Times New Roman" w:eastAsia="Times New Roman" w:hAnsi="Times New Roman"/>
                <w:sz w:val="13"/>
                <w:szCs w:val="13"/>
                <w:color w:val="auto"/>
              </w:rPr>
              <w:t>Paid</w:t>
            </w:r>
          </w:p>
        </w:tc>
        <w:tc>
          <w:tcPr>
            <w:tcW w:w="0" w:type="dxa"/>
            <w:vAlign w:val="bottom"/>
          </w:tcPr>
          <w:p>
            <w:pPr>
              <w:spacing w:after="0"/>
              <w:rPr>
                <w:sz w:val="1"/>
                <w:szCs w:val="1"/>
                <w:color w:val="auto"/>
              </w:rPr>
            </w:pPr>
          </w:p>
        </w:tc>
      </w:tr>
      <w:tr>
        <w:trPr>
          <w:trHeight w:val="171"/>
        </w:trPr>
        <w:tc>
          <w:tcPr>
            <w:tcW w:w="3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w w:val="86"/>
              </w:rPr>
              <w:t>a. </w:t>
            </w:r>
          </w:p>
        </w:tc>
        <w:tc>
          <w:tcPr>
            <w:tcW w:w="8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Current Month</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Cumulative</w:t>
            </w:r>
          </w:p>
        </w:tc>
        <w:tc>
          <w:tcPr>
            <w:tcW w:w="9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Month</w:t>
            </w:r>
          </w:p>
        </w:tc>
        <w:tc>
          <w:tcPr>
            <w:tcW w:w="9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Cumulative</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vMerge w:val="continue"/>
          </w:tcPr>
          <w:p>
            <w:pPr>
              <w:spacing w:after="0"/>
              <w:rPr>
                <w:sz w:val="18"/>
                <w:szCs w:val="18"/>
                <w:color w:val="auto"/>
              </w:rPr>
            </w:pP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 xml:space="preserve">Debtor’s professional fees &amp; expenses (bankruptcy) </w:t>
            </w:r>
            <w:r>
              <w:rPr>
                <w:rFonts w:ascii="Times New Roman" w:cs="Times New Roman" w:eastAsia="Times New Roman" w:hAnsi="Times New Roman"/>
                <w:sz w:val="18"/>
                <w:szCs w:val="18"/>
                <w:i w:val="1"/>
                <w:iCs w:val="1"/>
                <w:color w:val="auto"/>
                <w:w w:val="99"/>
              </w:rPr>
              <w:t>Aggregate Total</w:t>
            </w: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$515,399</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$515,399</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Firm Name</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Role</w:t>
            </w: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Raymond James</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Professional</w:t>
            </w: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Verita</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$340,399</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$340,399</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98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003415" cy="61893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03415" cy="6189345"/>
                    </a:xfrm>
                    <a:prstGeom prst="rect">
                      <a:avLst/>
                    </a:prstGeom>
                    <a:noFill/>
                  </pic:spPr>
                </pic:pic>
              </a:graphicData>
            </a:graphic>
          </wp:anchor>
        </w:drawing>
      </w: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xxxvii</w:t>
      </w:r>
    </w:p>
    <w:p>
      <w:pPr>
        <w:spacing w:after="0" w:line="27" w:lineRule="exact"/>
        <w:rPr>
          <w:sz w:val="20"/>
          <w:szCs w:val="20"/>
          <w:color w:val="auto"/>
        </w:rPr>
      </w:pPr>
    </w:p>
    <w:p>
      <w:pPr>
        <w:ind w:left="320"/>
        <w:spacing w:after="0"/>
        <w:tabs>
          <w:tab w:leader="none" w:pos="5920" w:val="left"/>
          <w:tab w:leader="none" w:pos="7780" w:val="left"/>
          <w:tab w:leader="none" w:pos="8660" w:val="left"/>
          <w:tab w:leader="none" w:pos="9440" w:val="left"/>
          <w:tab w:leader="none" w:pos="10220" w:val="left"/>
        </w:tabs>
        <w:rPr>
          <w:sz w:val="20"/>
          <w:szCs w:val="20"/>
          <w:color w:val="auto"/>
        </w:rPr>
      </w:pPr>
      <w:r>
        <w:rPr>
          <w:rFonts w:ascii="Times New Roman" w:cs="Times New Roman" w:eastAsia="Times New Roman" w:hAnsi="Times New Roman"/>
          <w:sz w:val="18"/>
          <w:szCs w:val="18"/>
          <w:color w:val="auto"/>
        </w:rPr>
        <w:t>xxxviii</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xxxix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xlix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lxxviii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270"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8"/>
              </w:rPr>
              <w:t>Case No. 26-10989</w:t>
            </w:r>
          </w:p>
        </w:tc>
      </w:tr>
      <w:tr>
        <w:trPr>
          <w:trHeight w:val="148"/>
        </w:trPr>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91"/>
        </w:trPr>
        <w:tc>
          <w:tcPr>
            <w:tcW w:w="36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lxxix</w:t>
            </w:r>
          </w:p>
        </w:tc>
        <w:tc>
          <w:tcPr>
            <w:tcW w:w="340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w w:val="77"/>
              </w:rPr>
              <w:t> </w:t>
            </w:r>
          </w:p>
        </w:tc>
        <w:tc>
          <w:tcPr>
            <w:tcW w:w="500" w:type="dxa"/>
            <w:vAlign w:val="bottom"/>
            <w:tcBorders>
              <w:right w:val="single" w:sz="8" w:color="auto"/>
            </w:tcBorders>
          </w:tcPr>
          <w:p>
            <w:pPr>
              <w:jc w:val="center"/>
              <w:ind w:right="347"/>
              <w:spacing w:after="0"/>
              <w:rPr>
                <w:sz w:val="20"/>
                <w:szCs w:val="20"/>
                <w:color w:val="auto"/>
              </w:rPr>
            </w:pPr>
            <w:r>
              <w:rPr>
                <w:rFonts w:ascii="Times New Roman" w:cs="Times New Roman" w:eastAsia="Times New Roman" w:hAnsi="Times New Roman"/>
                <w:sz w:val="11"/>
                <w:szCs w:val="11"/>
                <w:color w:val="auto"/>
                <w:w w:val="71"/>
              </w:rPr>
              <w:t> </w:t>
            </w:r>
          </w:p>
        </w:tc>
        <w:tc>
          <w:tcPr>
            <w:tcW w:w="82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6"/>
                <w:szCs w:val="16"/>
                <w:color w:val="auto"/>
              </w:rPr>
            </w:pPr>
          </w:p>
        </w:tc>
        <w:tc>
          <w:tcPr>
            <w:tcW w:w="840" w:type="dxa"/>
            <w:vAlign w:val="bottom"/>
            <w:tcBorders>
              <w:right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3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lxxxix</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xcix</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119"/>
        </w:trPr>
        <w:tc>
          <w:tcPr>
            <w:tcW w:w="360" w:type="dxa"/>
            <w:vAlign w:val="bottom"/>
            <w:tcBorders>
              <w:left w:val="single" w:sz="8" w:color="auto"/>
              <w:right w:val="single" w:sz="8" w:color="auto"/>
            </w:tcBorders>
          </w:tcPr>
          <w:p>
            <w:pPr>
              <w:ind w:left="18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60" w:type="dxa"/>
            <w:vAlign w:val="bottom"/>
          </w:tcPr>
          <w:p>
            <w:pPr>
              <w:spacing w:after="0"/>
              <w:rPr>
                <w:sz w:val="10"/>
                <w:szCs w:val="10"/>
                <w:color w:val="auto"/>
              </w:rPr>
            </w:pPr>
          </w:p>
        </w:tc>
        <w:tc>
          <w:tcPr>
            <w:tcW w:w="780" w:type="dxa"/>
            <w:vAlign w:val="bottom"/>
            <w:tcBorders>
              <w:right w:val="single" w:sz="8" w:color="auto"/>
            </w:tcBorders>
            <w:gridSpan w:val="2"/>
          </w:tcPr>
          <w:p>
            <w:pPr>
              <w:ind w:left="40"/>
              <w:spacing w:after="0" w:line="119" w:lineRule="exact"/>
              <w:rPr>
                <w:sz w:val="20"/>
                <w:szCs w:val="20"/>
                <w:color w:val="auto"/>
              </w:rPr>
            </w:pPr>
            <w:r>
              <w:rPr>
                <w:rFonts w:ascii="Times New Roman" w:cs="Times New Roman" w:eastAsia="Times New Roman" w:hAnsi="Times New Roman"/>
                <w:sz w:val="13"/>
                <w:szCs w:val="13"/>
                <w:color w:val="auto"/>
              </w:rPr>
              <w:t>Paid Current</w:t>
            </w:r>
          </w:p>
        </w:tc>
        <w:tc>
          <w:tcPr>
            <w:tcW w:w="840" w:type="dxa"/>
            <w:vAlign w:val="bottom"/>
            <w:tcBorders>
              <w:right w:val="single" w:sz="8" w:color="auto"/>
            </w:tcBorders>
          </w:tcPr>
          <w:p>
            <w:pPr>
              <w:jc w:val="right"/>
              <w:ind w:right="196"/>
              <w:spacing w:after="0" w:line="119" w:lineRule="exact"/>
              <w:rPr>
                <w:sz w:val="20"/>
                <w:szCs w:val="20"/>
                <w:color w:val="auto"/>
              </w:rPr>
            </w:pPr>
            <w:r>
              <w:rPr>
                <w:rFonts w:ascii="Times New Roman" w:cs="Times New Roman" w:eastAsia="Times New Roman" w:hAnsi="Times New Roman"/>
                <w:sz w:val="13"/>
                <w:szCs w:val="13"/>
                <w:color w:val="auto"/>
              </w:rPr>
              <w:t>Paid</w:t>
            </w:r>
          </w:p>
        </w:tc>
      </w:tr>
      <w:tr>
        <w:trPr>
          <w:trHeight w:val="171"/>
        </w:trPr>
        <w:tc>
          <w:tcPr>
            <w:tcW w:w="3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99"/>
              </w:rPr>
              <w:t> </w:t>
            </w:r>
          </w:p>
        </w:tc>
        <w:tc>
          <w:tcPr>
            <w:tcW w:w="8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Current Month</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Cumulative</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Month</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Cumulative</w:t>
            </w:r>
          </w:p>
        </w:tc>
      </w:tr>
      <w:tr>
        <w:trPr>
          <w:trHeight w:val="209"/>
        </w:trPr>
        <w:tc>
          <w:tcPr>
            <w:tcW w:w="3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3"/>
              </w:rPr>
              <w:t>b. </w:t>
            </w:r>
          </w:p>
        </w:tc>
        <w:tc>
          <w:tcPr>
            <w:tcW w:w="5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Debtor’s professional fees &amp; expenses (nonbankruptcy) </w:t>
            </w:r>
            <w:r>
              <w:rPr>
                <w:rFonts w:ascii="Times New Roman" w:cs="Times New Roman" w:eastAsia="Times New Roman" w:hAnsi="Times New Roman"/>
                <w:sz w:val="18"/>
                <w:szCs w:val="18"/>
                <w:i w:val="1"/>
                <w:iCs w:val="1"/>
                <w:color w:val="auto"/>
              </w:rPr>
              <w:t>Aggregate Total</w:t>
            </w: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2"/>
              </w:rPr>
              <w:t>$11,851</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4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1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Firm Name</w:t>
            </w: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Role</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Rothwell, Figg, Ernst &amp; Manbec</w:t>
            </w: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Special Counsel</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2"/>
              </w:rPr>
              <w:t>$11,693</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Daijogo &amp; Pedersen, LLP</w:t>
            </w: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Special Counsel</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3"/>
              </w:rPr>
              <w:t>$         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53</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Kilpatrick Townsend &amp; Stockto</w:t>
            </w: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Special Counsel</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3"/>
              </w:rPr>
              <w:t>$     158</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158</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ix</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xiii</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xiv</w:t>
            </w:r>
          </w:p>
        </w:tc>
        <w:tc>
          <w:tcPr>
            <w:tcW w:w="34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35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7" w:name="page38"/>
    <w:bookmarkEnd w:id="37"/>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29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03415" cy="6129020"/>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160" w:val="left"/>
          <w:tab w:leader="none" w:pos="5760" w:val="left"/>
          <w:tab w:leader="none" w:pos="8360" w:val="left"/>
          <w:tab w:leader="none" w:pos="8920" w:val="left"/>
          <w:tab w:leader="none" w:pos="9560" w:val="left"/>
          <w:tab w:leader="none" w:pos="10320" w:val="left"/>
        </w:tabs>
        <w:rPr>
          <w:sz w:val="20"/>
          <w:szCs w:val="20"/>
          <w:color w:val="auto"/>
        </w:rPr>
      </w:pPr>
      <w:r>
        <w:rPr>
          <w:rFonts w:ascii="Times New Roman" w:cs="Times New Roman" w:eastAsia="Times New Roman" w:hAnsi="Times New Roman"/>
          <w:sz w:val="18"/>
          <w:szCs w:val="18"/>
          <w:color w:val="auto"/>
        </w:rPr>
        <w:t>xvi</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tab/>
        <w:t xml:space="preserve">         </w:t>
        <w:tab/>
        <w:t xml:space="preserve">         </w:t>
        <w:tab/>
        <w:t xml:space="preserve">         </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xxxix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xlviii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xlix</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liii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lv</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lvi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270" w:right="4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148"/>
        </w:trPr>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209"/>
        </w:trPr>
        <w:tc>
          <w:tcPr>
            <w:tcW w:w="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lvii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lviii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xcviii</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xcix</w:t>
            </w:r>
          </w:p>
        </w:tc>
        <w:tc>
          <w:tcPr>
            <w:tcW w:w="3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304"/>
        </w:trPr>
        <w:tc>
          <w:tcPr>
            <w:tcW w:w="300" w:type="dxa"/>
            <w:vAlign w:val="bottom"/>
            <w:tcBorders>
              <w:left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504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c.     All professional fees and expenses (debtor &amp; committees)</w:t>
            </w:r>
          </w:p>
        </w:tc>
        <w:tc>
          <w:tcPr>
            <w:tcW w:w="76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0   $      0   $527,250   </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$527,597</w:t>
            </w:r>
          </w:p>
        </w:tc>
      </w:tr>
      <w:tr>
        <w:trPr>
          <w:trHeight w:val="35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-6917055</wp:posOffset>
            </wp:positionV>
            <wp:extent cx="8890" cy="6686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668655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-6917055</wp:posOffset>
            </wp:positionV>
            <wp:extent cx="8255" cy="6686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668655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6: Postpetition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12"/>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  Postpetition income taxes accrued (local, state, and federal)</w:t>
            </w: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income taxes paid (local, state, and federal)</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 Postpetition employer payroll taxes accrued</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employer payroll taxes paid</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 Postpetition property taxes paid</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Postpetition other taxes accrued (local, state, and federal)</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other taxes paid (local, state, and federal)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-753745</wp:posOffset>
            </wp:positionV>
            <wp:extent cx="69951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-445135</wp:posOffset>
            </wp:positionV>
            <wp:extent cx="69951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7: Questionnaire - During this reporting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5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 Were any payments made on prepetition debt? (if yes, see Instructions)</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Were any payments made outside the ordinary course of business without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4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approval? (if yes, see Instructions)</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 Were any payments made to or on behalf of insiders?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Are you current on postpetition tax return filings?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 Are you current on postpetition estimated tax payments?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Were all trust fund taxes remitted on a current basis?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Was there any postpetition borrowing, other than trade credit? (if yes, see</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Instructions)</w:t>
            </w:r>
          </w:p>
        </w:tc>
        <w:tc>
          <w:tcPr>
            <w:tcW w:w="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Were all payments made to or on behalf of professionals approved by the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Do you have:    </w:t>
            </w:r>
          </w:p>
        </w:tc>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Worker’s compensation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1360" w:type="dxa"/>
            <w:vAlign w:val="bottom"/>
          </w:tcPr>
          <w:p>
            <w:pPr>
              <w:ind w:left="1220"/>
              <w:spacing w:after="0"/>
              <w:rPr>
                <w:sz w:val="20"/>
                <w:szCs w:val="20"/>
                <w:color w:val="auto"/>
              </w:rPr>
            </w:pPr>
            <w:r>
              <w:rPr>
                <w:rFonts w:ascii="Times New Roman" w:cs="Times New Roman" w:eastAsia="Times New Roman" w:hAnsi="Times New Roman"/>
                <w:sz w:val="17"/>
                <w:szCs w:val="17"/>
                <w:color w:val="auto"/>
                <w:w w:val="70"/>
              </w:rPr>
              <w:t> </w:t>
            </w:r>
          </w:p>
        </w:tc>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Casualty/property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48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     General liability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Has a plan of reorganization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Has a disclosure statement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l. </w:t>
            </w:r>
          </w:p>
        </w:tc>
        <w:tc>
          <w:tcPr>
            <w:tcW w:w="59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Are you current with quarterly U.S. Trustee fees as set forth under 28 U.S.C. §</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1930?</w:t>
            </w:r>
          </w:p>
        </w:tc>
        <w:tc>
          <w:tcPr>
            <w:tcW w:w="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5"/>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-4448810</wp:posOffset>
            </wp:positionV>
            <wp:extent cx="15430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-4448810</wp:posOffset>
            </wp:positionV>
            <wp:extent cx="14605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-4225925</wp:posOffset>
            </wp:positionV>
            <wp:extent cx="15430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-4225925</wp:posOffset>
            </wp:positionV>
            <wp:extent cx="14605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-3883025</wp:posOffset>
            </wp:positionV>
            <wp:extent cx="15430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-3883025</wp:posOffset>
            </wp:positionV>
            <wp:extent cx="14605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-3660140</wp:posOffset>
            </wp:positionV>
            <wp:extent cx="15430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-3660140</wp:posOffset>
            </wp:positionV>
            <wp:extent cx="14605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-3437255</wp:posOffset>
            </wp:positionV>
            <wp:extent cx="15430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-3437255</wp:posOffset>
            </wp:positionV>
            <wp:extent cx="14605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-3214370</wp:posOffset>
            </wp:positionV>
            <wp:extent cx="15430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-3214370</wp:posOffset>
            </wp:positionV>
            <wp:extent cx="14605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-2991485</wp:posOffset>
            </wp:positionV>
            <wp:extent cx="15430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-2991485</wp:posOffset>
            </wp:positionV>
            <wp:extent cx="14605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-2648585</wp:posOffset>
            </wp:positionV>
            <wp:extent cx="14541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-2648585</wp:posOffset>
            </wp:positionV>
            <wp:extent cx="15430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-2391410</wp:posOffset>
            </wp:positionV>
            <wp:extent cx="15430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-2391410</wp:posOffset>
            </wp:positionV>
            <wp:extent cx="14605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-2168525</wp:posOffset>
            </wp:positionV>
            <wp:extent cx="15430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-2168525</wp:posOffset>
            </wp:positionV>
            <wp:extent cx="14605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-1911350</wp:posOffset>
            </wp:positionV>
            <wp:extent cx="15430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-1911350</wp:posOffset>
            </wp:positionV>
            <wp:extent cx="14605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-1688465</wp:posOffset>
            </wp:positionV>
            <wp:extent cx="15430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-1688465</wp:posOffset>
            </wp:positionV>
            <wp:extent cx="14605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-1431290</wp:posOffset>
            </wp:positionV>
            <wp:extent cx="15430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-1431290</wp:posOffset>
            </wp:positionV>
            <wp:extent cx="14605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-1208405</wp:posOffset>
            </wp:positionV>
            <wp:extent cx="15430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-1208405</wp:posOffset>
            </wp:positionV>
            <wp:extent cx="14605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-951230</wp:posOffset>
            </wp:positionV>
            <wp:extent cx="14541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-951230</wp:posOffset>
            </wp:positionV>
            <wp:extent cx="15430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-728345</wp:posOffset>
            </wp:positionV>
            <wp:extent cx="14541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-728345</wp:posOffset>
            </wp:positionV>
            <wp:extent cx="15430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-505460</wp:posOffset>
            </wp:positionV>
            <wp:extent cx="15430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-505460</wp:posOffset>
            </wp:positionV>
            <wp:extent cx="14605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Case No. 26-10989</w:t>
      </w:r>
    </w:p>
    <w:p>
      <w:pPr>
        <w:spacing w:after="0" w:line="165" w:lineRule="exact"/>
        <w:rPr>
          <w:sz w:val="20"/>
          <w:szCs w:val="20"/>
          <w:color w:val="auto"/>
        </w:rPr>
      </w:pPr>
    </w:p>
    <w:tbl>
      <w:tblPr>
        <w:tblLayout w:type="fixed"/>
        <w:tblInd w:w="7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auto"/>
            </w:tcBorders>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23"/>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r>
        <w:trPr>
          <w:trHeight w:val="223"/>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211,413</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493,588</w:t>
            </w:r>
          </w:p>
        </w:tc>
        <w:tc>
          <w:tcPr>
            <w:tcW w:w="20" w:type="dxa"/>
            <w:vAlign w:val="bottom"/>
          </w:tcPr>
          <w:p>
            <w:pPr>
              <w:spacing w:after="0"/>
              <w:rPr>
                <w:sz w:val="19"/>
                <w:szCs w:val="19"/>
                <w:color w:val="auto"/>
              </w:rPr>
            </w:pPr>
          </w:p>
        </w:tc>
      </w:tr>
      <w:tr>
        <w:trPr>
          <w:trHeight w:val="223"/>
        </w:trPr>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455,499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877,333</w:t>
            </w:r>
          </w:p>
        </w:tc>
        <w:tc>
          <w:tcPr>
            <w:tcW w:w="20" w:type="dxa"/>
            <w:vAlign w:val="bottom"/>
          </w:tcPr>
          <w:p>
            <w:pPr>
              <w:spacing w:after="0"/>
              <w:rPr>
                <w:sz w:val="19"/>
                <w:szCs w:val="19"/>
                <w:color w:val="auto"/>
              </w:rPr>
            </w:pPr>
          </w:p>
        </w:tc>
      </w:tr>
      <w:tr>
        <w:trPr>
          <w:trHeight w:val="223"/>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361,948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361,948</w:t>
            </w:r>
          </w:p>
        </w:tc>
        <w:tc>
          <w:tcPr>
            <w:tcW w:w="20" w:type="dxa"/>
            <w:vAlign w:val="bottom"/>
          </w:tcPr>
          <w:p>
            <w:pPr>
              <w:spacing w:after="0"/>
              <w:rPr>
                <w:sz w:val="19"/>
                <w:szCs w:val="19"/>
                <w:color w:val="auto"/>
              </w:rPr>
            </w:pPr>
          </w:p>
        </w:tc>
      </w:tr>
      <w:tr>
        <w:trPr>
          <w:trHeight w:val="223"/>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20" w:type="dxa"/>
            <w:vAlign w:val="bottom"/>
          </w:tcPr>
          <w:p>
            <w:pPr>
              <w:spacing w:after="0"/>
              <w:rPr>
                <w:sz w:val="19"/>
                <w:szCs w:val="19"/>
                <w:color w:val="auto"/>
              </w:rPr>
            </w:pPr>
          </w:p>
        </w:tc>
      </w:tr>
      <w:tr>
        <w:trPr>
          <w:trHeight w:val="223"/>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(if no, see Instructions)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(if no, see Instructions)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(if no, see Instructions)</w:t>
      </w:r>
    </w:p>
    <w:p>
      <w:pPr>
        <w:sectPr>
          <w:pgSz w:w="11900" w:h="16838" w:orient="portrait"/>
          <w:cols w:equalWidth="0" w:num="2">
            <w:col w:w="7540" w:space="620"/>
            <w:col w:w="2860"/>
          </w:cols>
          <w:pgMar w:left="440" w:top="270"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8: Individual Chapter 11 Debtors (Only)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8"/>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70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 Gross income (receipts) from salary and wages</w:t>
            </w: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Gross income (receipts) from self-employment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 Gross income from all other sources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Total income in the reporting period (a+b+c)</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 Payroll deductions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7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Self-employment related expenses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Living expenses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All other expenses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7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Total expenses in the reporting period (e+f+g+h)</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7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Difference between total income and total expenses (d-i)</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List the total amount of all postpetition debts that are past due</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l. </w:t>
            </w:r>
          </w:p>
        </w:tc>
        <w:tc>
          <w:tcPr>
            <w:tcW w:w="7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Are you required to pay any Domestic Support Obligations as defined by 11 U.S.C § 101(14A)?</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If yes, have you made all Domestic Support Obligation payments?</w:t>
      </w:r>
    </w:p>
    <w:p>
      <w:pPr>
        <w:spacing w:after="0" w:line="30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Privacy Act Statement</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Times New Roman" w:cs="Times New Roman" w:eastAsia="Times New Roman" w:hAnsi="Times New Roman"/>
          <w:sz w:val="18"/>
          <w:szCs w:val="18"/>
          <w:color w:val="auto"/>
        </w:rPr>
        <w:t>Case No. 26-10989</w:t>
      </w:r>
    </w:p>
    <w:p>
      <w:pPr>
        <w:spacing w:after="0" w:line="32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17145</wp:posOffset>
            </wp:positionV>
            <wp:extent cx="4883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r>
        <w:rPr>
          <w:sz w:val="1"/>
          <w:szCs w:val="1"/>
          <w:color w:val="auto"/>
        </w:rPr>
        <w:drawing>
          <wp:inline distT="0" distB="0" distL="0" distR="0">
            <wp:extent cx="146050" cy="1543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r>
        <w:rPr>
          <w:rFonts w:ascii="Times New Roman" w:cs="Times New Roman" w:eastAsia="Times New Roman" w:hAnsi="Times New Roman"/>
          <w:sz w:val="26"/>
          <w:szCs w:val="26"/>
          <w:color w:val="auto"/>
          <w:vertAlign w:val="subscript"/>
        </w:rPr>
        <w:t xml:space="preserve">  </w:t>
      </w:r>
      <w:r>
        <w:rPr>
          <w:sz w:val="1"/>
          <w:szCs w:val="1"/>
          <w:color w:val="auto"/>
        </w:rPr>
        <w:drawing>
          <wp:inline distT="0" distB="0" distL="0" distR="0">
            <wp:extent cx="154305" cy="1543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r>
        <w:rPr>
          <w:sz w:val="1"/>
          <w:szCs w:val="1"/>
          <w:color w:val="auto"/>
        </w:rPr>
        <w:drawing>
          <wp:inline distT="0" distB="0" distL="0" distR="0">
            <wp:extent cx="146050" cy="1543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r>
        <w:rPr>
          <w:rFonts w:ascii="Times New Roman" w:cs="Times New Roman" w:eastAsia="Times New Roman" w:hAnsi="Times New Roman"/>
          <w:sz w:val="26"/>
          <w:szCs w:val="26"/>
          <w:color w:val="auto"/>
          <w:vertAlign w:val="subscript"/>
        </w:rPr>
        <w:t xml:space="preserve">  </w:t>
      </w:r>
      <w:r>
        <w:rPr>
          <w:sz w:val="1"/>
          <w:szCs w:val="1"/>
          <w:color w:val="auto"/>
        </w:rPr>
        <w:drawing>
          <wp:inline distT="0" distB="0" distL="0" distR="0">
            <wp:extent cx="146050" cy="1543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N/A</w:t>
      </w:r>
      <w:r>
        <w:rPr>
          <w:rFonts w:ascii="Times New Roman" w:cs="Times New Roman" w:eastAsia="Times New Roman" w:hAnsi="Times New Roman"/>
          <w:sz w:val="26"/>
          <w:szCs w:val="26"/>
          <w:color w:val="auto"/>
          <w:vertAlign w:val="subscript"/>
        </w:rPr>
        <w:t xml:space="preserve">  </w:t>
      </w:r>
      <w:r>
        <w:rPr>
          <w:sz w:val="1"/>
          <w:szCs w:val="1"/>
          <w:color w:val="auto"/>
        </w:rPr>
        <w:drawing>
          <wp:inline distT="0" distB="0" distL="0" distR="0">
            <wp:extent cx="154305" cy="1543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598" w:lineRule="exact"/>
        <w:rPr>
          <w:sz w:val="20"/>
          <w:szCs w:val="20"/>
          <w:color w:val="auto"/>
        </w:rPr>
      </w:pPr>
    </w:p>
    <w:p>
      <w:pPr>
        <w:sectPr>
          <w:pgSz w:w="11900" w:h="16838" w:orient="portrait"/>
          <w:cols w:equalWidth="0" w:num="2">
            <w:col w:w="7260" w:space="560"/>
            <w:col w:w="3200"/>
          </w:cols>
          <w:pgMar w:left="440" w:top="270" w:right="439" w:bottom="1440" w:gutter="0" w:footer="0" w:header="0"/>
        </w:sectPr>
      </w:pPr>
    </w:p>
    <w:p>
      <w:pPr>
        <w:spacing w:after="0" w:line="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 declare under penalty of perjury that the foregoing Monthly Operating Report and its supporting documentation are true and correct and that I have been authorized to sign this report on behalf of the estate.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10/23/2026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6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type w:val="continuous"/>
        </w:sectPr>
      </w:pPr>
    </w:p>
    <w:bookmarkStart w:id="41" w:name="page42"/>
    <w:bookmarkEnd w:id="41"/>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111760</wp:posOffset>
            </wp:positionV>
            <wp:extent cx="6557645" cy="7629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20"/>
          </w:cols>
          <w:pgMar w:left="440" w:top="270" w:right="439" w:bottom="1440" w:gutter="0" w:footer="0" w:header="0"/>
        </w:sectPr>
      </w:pPr>
    </w:p>
    <w:bookmarkStart w:id="42" w:name="page43"/>
    <w:bookmarkEnd w:id="42"/>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111760</wp:posOffset>
            </wp:positionV>
            <wp:extent cx="6737985" cy="7629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798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20"/>
          </w:cols>
          <w:pgMar w:left="440" w:top="270" w:right="439" w:bottom="1440" w:gutter="0" w:footer="0" w:header="0"/>
        </w:sectPr>
      </w:pPr>
    </w:p>
    <w:bookmarkStart w:id="43" w:name="page44"/>
    <w:bookmarkEnd w:id="43"/>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6995160" cy="7629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020"/>
          </w:cols>
          <w:pgMar w:left="440" w:top="270" w:right="4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IN THE UNITED STATES BANKRUPTCY COURT</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2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FOR THE DISTRICT DELAWARE</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auto"/>
            </w:tcBorders>
          </w:tcPr>
          <w:p>
            <w:pPr>
              <w:spacing w:after="0"/>
              <w:rPr>
                <w:sz w:val="22"/>
                <w:szCs w:val="22"/>
                <w:color w:val="auto"/>
              </w:rPr>
            </w:pPr>
          </w:p>
        </w:tc>
        <w:tc>
          <w:tcPr>
            <w:tcW w:w="4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Chapter 11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SANGAMO THERAPEUTICS, INC. </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Case No. 26-10989 (CTG)</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1080"/>
              <w:spacing w:after="0" w:line="216" w:lineRule="exact"/>
              <w:rPr>
                <w:sz w:val="20"/>
                <w:szCs w:val="20"/>
                <w:color w:val="auto"/>
              </w:rPr>
            </w:pPr>
            <w:r>
              <w:rPr>
                <w:rFonts w:ascii="Times New Roman" w:cs="Times New Roman" w:eastAsia="Times New Roman" w:hAnsi="Times New Roman"/>
                <w:sz w:val="17"/>
                <w:szCs w:val="17"/>
                <w:color w:val="auto"/>
              </w:rPr>
              <w:t>Debtor.</w:t>
            </w:r>
            <w:r>
              <w:rPr>
                <w:rFonts w:ascii="Times New Roman" w:cs="Times New Roman" w:eastAsia="Times New Roman" w:hAnsi="Times New Roman"/>
                <w:sz w:val="25"/>
                <w:szCs w:val="25"/>
                <w:color w:val="auto"/>
                <w:vertAlign w:val="superscript"/>
              </w:rPr>
              <w:t>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480" w:right="2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GLOBAL NOTES AND STATEMENT OF LIMITATIONS, METHODOLOGY, AND DISCLAIMERS REGARDING THE DEBTOR’S </w:t>
      </w:r>
      <w:r>
        <w:rPr>
          <w:rFonts w:ascii="Times New Roman" w:cs="Times New Roman" w:eastAsia="Times New Roman" w:hAnsi="Times New Roman"/>
          <w:sz w:val="18"/>
          <w:szCs w:val="18"/>
          <w:b w:val="1"/>
          <w:bCs w:val="1"/>
          <w:i w:val="1"/>
          <w:iCs w:val="1"/>
          <w:color w:val="auto"/>
        </w:rPr>
        <w:t>AMENDED</w:t>
      </w:r>
      <w:r>
        <w:rPr>
          <w:rFonts w:ascii="Times New Roman" w:cs="Times New Roman" w:eastAsia="Times New Roman" w:hAnsi="Times New Roman"/>
          <w:sz w:val="26"/>
          <w:szCs w:val="26"/>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MONTHLY OPERATING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On June 23, 2026 (the “</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Sangamo Therapeutics, Inc.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commenced the above-captioned chapter 11 case by filing a voluntary petition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with the United States Bankruptcy Court for the District of Delaware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The Debtor is authorized to operate its business as a debtor-in-possession pursuant to sections 1107(a) and 1108 of the Bankruptcy Code.</w:t>
      </w:r>
    </w:p>
    <w:p>
      <w:pPr>
        <w:spacing w:after="0" w:line="39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General Methodology</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Debtor is filing its monthly operating report (the “</w:t>
      </w:r>
      <w:r>
        <w:rPr>
          <w:rFonts w:ascii="Times New Roman" w:cs="Times New Roman" w:eastAsia="Times New Roman" w:hAnsi="Times New Roman"/>
          <w:sz w:val="18"/>
          <w:szCs w:val="18"/>
          <w:b w:val="1"/>
          <w:bCs w:val="1"/>
          <w:color w:val="auto"/>
        </w:rPr>
        <w:t>MOR</w:t>
      </w:r>
      <w:r>
        <w:rPr>
          <w:rFonts w:ascii="Times New Roman" w:cs="Times New Roman" w:eastAsia="Times New Roman" w:hAnsi="Times New Roman"/>
          <w:sz w:val="18"/>
          <w:szCs w:val="18"/>
          <w:color w:val="auto"/>
        </w:rPr>
        <w:t>”) for the period from August 1, 2026 through August 31, 2026 (the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for purposes of complying with the monthly reporting requirements applicable in the Debtor’s chapter 11 case. The MOR is unaudited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prepared in accordance with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does not include all of the information and footnotes required by U.S. GAAP. The MOR is not intended to reconcile to any financial statements otherwise prepared or distributed by the Debtor. The MOR should not be relied upon by any persons for information relating to current or future financial condition, events, or performance of the Debtor or its affiliates, as the results of operations contained herein are not necessarily indicative of results which may be expected from any other period or for the full year and may not necessarily reflect the results of operations, financial position, and schedule of receipts and disbursements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ind w:left="224" w:hanging="224"/>
        <w:spacing w:after="0"/>
        <w:tabs>
          <w:tab w:leader="none" w:pos="2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 and the last four digits of its taxpayer identification number are: Sangamo Therapeutics, Inc. (9556). The Debtor’s mailing address is</w:t>
      </w:r>
    </w:p>
    <w:p>
      <w:pPr>
        <w:spacing w:after="0" w:line="198" w:lineRule="exact"/>
        <w:rPr>
          <w:sz w:val="20"/>
          <w:szCs w:val="20"/>
          <w:color w:val="auto"/>
        </w:rPr>
      </w:pPr>
    </w:p>
    <w:p>
      <w:pPr>
        <w:ind w:left="224" w:right="20" w:hanging="224"/>
        <w:spacing w:after="0" w:line="220" w:lineRule="auto"/>
        <w:tabs>
          <w:tab w:leader="none" w:pos="2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amended monthly operating report amends the August monthly operating report filed at Docket No. 513 to add information regarding payments inadvertently made to ordinary course professionals, as set forth in part 5(b) of the monthly operating report form and the attached attestation titled “Part 7(b) and 7(h) Payments Without Court Approval.”</w:t>
      </w:r>
    </w:p>
    <w:p>
      <w:pPr>
        <w:sectPr>
          <w:pgSz w:w="11900" w:h="16838" w:orient="portrait"/>
          <w:cols w:equalWidth="0" w:num="1">
            <w:col w:w="10964"/>
          </w:cols>
          <w:pgMar w:left="436" w:top="266" w:right="4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for Presentation</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For the reasons discussed above, there can be no assurance that the financial information presented in the MOR is complete, and readers are strongly cautioned not to place undue reliance on the MOR.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Reporting Period</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herein, the MOR generally reflects the Debtor’s books and records for the applicable Reporting Period. Unless otherwise noted herein, no adjustments have been made for activity occurring after the close of the Reporting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Accuracy</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w:t>
      </w:r>
    </w:p>
    <w:p>
      <w:pPr>
        <w:sectPr>
          <w:pgSz w:w="11900" w:h="16838" w:orient="portrait"/>
          <w:cols w:equalWidth="0" w:num="1">
            <w:col w:w="11000"/>
          </w:cols>
          <w:pgMar w:left="440" w:top="266" w:right="45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 in Possession Financing</w:t>
      </w:r>
    </w:p>
    <w:p>
      <w:pPr>
        <w:spacing w:after="0" w:line="227"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June 25, 2026, the Court entered the </w:t>
      </w:r>
      <w:r>
        <w:rPr>
          <w:rFonts w:ascii="Times New Roman" w:cs="Times New Roman" w:eastAsia="Times New Roman" w:hAnsi="Times New Roman"/>
          <w:sz w:val="18"/>
          <w:szCs w:val="18"/>
          <w:i w:val="1"/>
          <w:iCs w:val="1"/>
          <w:color w:val="auto"/>
        </w:rPr>
        <w:t>Interim Order (A) Authorizing the Debtor to Obtain Postpetition Financing, (B) Granting Liens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Providing 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63] (the “</w:t>
      </w:r>
      <w:r>
        <w:rPr>
          <w:rFonts w:ascii="Times New Roman" w:cs="Times New Roman" w:eastAsia="Times New Roman" w:hAnsi="Times New Roman"/>
          <w:sz w:val="18"/>
          <w:szCs w:val="18"/>
          <w:b w:val="1"/>
          <w:bCs w:val="1"/>
          <w:color w:val="auto"/>
        </w:rPr>
        <w:t>Initial Interim DIP Order</w:t>
      </w:r>
      <w:r>
        <w:rPr>
          <w:rFonts w:ascii="Times New Roman" w:cs="Times New Roman" w:eastAsia="Times New Roman" w:hAnsi="Times New Roman"/>
          <w:sz w:val="18"/>
          <w:szCs w:val="18"/>
          <w:color w:val="auto"/>
        </w:rPr>
        <w:t>”) authorizing the Debtor to enter into a senior secured superpriority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debtor-in-possession term loan facility (the “</w:t>
      </w:r>
      <w:r>
        <w:rPr>
          <w:rFonts w:ascii="Times New Roman" w:cs="Times New Roman" w:eastAsia="Times New Roman" w:hAnsi="Times New Roman"/>
          <w:sz w:val="18"/>
          <w:szCs w:val="18"/>
          <w:b w:val="1"/>
          <w:bCs w:val="1"/>
          <w:color w:val="auto"/>
        </w:rPr>
        <w:t>Initial DIP Facility</w:t>
      </w:r>
      <w:r>
        <w:rPr>
          <w:rFonts w:ascii="Times New Roman" w:cs="Times New Roman" w:eastAsia="Times New Roman" w:hAnsi="Times New Roman"/>
          <w:sz w:val="18"/>
          <w:szCs w:val="18"/>
          <w:color w:val="auto"/>
        </w:rPr>
        <w:t>”). Prior to the Reporting Period, the Debtor drew $10,500,000 under the Initial DIP Facility. Please refer to the motion [Docket No. 10] seeking entry of the Initial Interim DIP Order for additional information regarding the Initial DIP Facility.</w:t>
      </w:r>
    </w:p>
    <w:p>
      <w:pPr>
        <w:spacing w:after="0" w:line="18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July 23, 2026, the Court entered the </w:t>
      </w:r>
      <w:r>
        <w:rPr>
          <w:rFonts w:ascii="Times New Roman" w:cs="Times New Roman" w:eastAsia="Times New Roman" w:hAnsi="Times New Roman"/>
          <w:sz w:val="18"/>
          <w:szCs w:val="18"/>
          <w:i w:val="1"/>
          <w:iCs w:val="1"/>
          <w:color w:val="auto"/>
        </w:rPr>
        <w:t>Interim Order (A) Authorizing the Debtor to Obtain Replacement Postpetition Financing, (B) Granting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Liens and Providing 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176] (the “</w:t>
      </w:r>
      <w:r>
        <w:rPr>
          <w:rFonts w:ascii="Times New Roman" w:cs="Times New Roman" w:eastAsia="Times New Roman" w:hAnsi="Times New Roman"/>
          <w:sz w:val="18"/>
          <w:szCs w:val="18"/>
          <w:b w:val="1"/>
          <w:bCs w:val="1"/>
          <w:color w:val="auto"/>
        </w:rPr>
        <w:t>Replacement Interim DIP Order</w:t>
      </w:r>
      <w:r>
        <w:rPr>
          <w:rFonts w:ascii="Times New Roman" w:cs="Times New Roman" w:eastAsia="Times New Roman" w:hAnsi="Times New Roman"/>
          <w:sz w:val="18"/>
          <w:szCs w:val="18"/>
          <w:color w:val="auto"/>
        </w:rPr>
        <w:t>”), which, among other things, authorized the Debtor to enter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secured superpriority debtor-in possession term loan facility (the “</w:t>
      </w:r>
      <w:r>
        <w:rPr>
          <w:rFonts w:ascii="Times New Roman" w:cs="Times New Roman" w:eastAsia="Times New Roman" w:hAnsi="Times New Roman"/>
          <w:sz w:val="18"/>
          <w:szCs w:val="18"/>
          <w:b w:val="1"/>
          <w:bCs w:val="1"/>
          <w:color w:val="auto"/>
        </w:rPr>
        <w:t>Replacement DIP Facility</w:t>
      </w:r>
      <w:r>
        <w:rPr>
          <w:rFonts w:ascii="Times New Roman" w:cs="Times New Roman" w:eastAsia="Times New Roman" w:hAnsi="Times New Roman"/>
          <w:sz w:val="18"/>
          <w:szCs w:val="18"/>
          <w:color w:val="auto"/>
        </w:rPr>
        <w:t>”) with Future Solution Investments LLC (“</w:t>
      </w:r>
      <w:r>
        <w:rPr>
          <w:rFonts w:ascii="Times New Roman" w:cs="Times New Roman" w:eastAsia="Times New Roman" w:hAnsi="Times New Roman"/>
          <w:sz w:val="18"/>
          <w:szCs w:val="18"/>
          <w:b w:val="1"/>
          <w:bCs w:val="1"/>
          <w:color w:val="auto"/>
        </w:rPr>
        <w:t>FSI</w:t>
      </w:r>
      <w:r>
        <w:rPr>
          <w:rFonts w:ascii="Times New Roman" w:cs="Times New Roman" w:eastAsia="Times New Roman" w:hAnsi="Times New Roman"/>
          <w:sz w:val="18"/>
          <w:szCs w:val="18"/>
          <w:color w:val="auto"/>
        </w:rPr>
        <w:t>”), as lender, to replace the Initial DIP Facility. Prior to the Reporting Period, the Debtor incurred $18 million in DIP Obligations (as defined in the Replacement DIP Order) under the Replacement DIP Facility, $11,432,958 of which was paid by the Debtor or on the Debtor’s behalf to satisfy all outstanding obligations arising under the Initial DIP Facility, including all fees. Please refer to the motion [Docket No. 161] (the “</w:t>
      </w:r>
      <w:r>
        <w:rPr>
          <w:rFonts w:ascii="Times New Roman" w:cs="Times New Roman" w:eastAsia="Times New Roman" w:hAnsi="Times New Roman"/>
          <w:sz w:val="18"/>
          <w:szCs w:val="18"/>
          <w:b w:val="1"/>
          <w:bCs w:val="1"/>
          <w:color w:val="auto"/>
        </w:rPr>
        <w:t>Replacement 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Motion</w:t>
      </w:r>
      <w:r>
        <w:rPr>
          <w:rFonts w:ascii="Times New Roman" w:cs="Times New Roman" w:eastAsia="Times New Roman" w:hAnsi="Times New Roman"/>
          <w:sz w:val="18"/>
          <w:szCs w:val="18"/>
          <w:color w:val="auto"/>
        </w:rPr>
        <w:t>”) seeking entry of the Replacement Interim DIP Order for additional information regarding the Replacement DIP Facility.</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On August 20, 2026, the Court entered an order [Docket No. 360] (the “</w:t>
      </w:r>
      <w:r>
        <w:rPr>
          <w:rFonts w:ascii="Times New Roman" w:cs="Times New Roman" w:eastAsia="Times New Roman" w:hAnsi="Times New Roman"/>
          <w:sz w:val="18"/>
          <w:szCs w:val="18"/>
          <w:b w:val="1"/>
          <w:bCs w:val="1"/>
          <w:color w:val="auto"/>
        </w:rPr>
        <w:t>Replacement Final DIP Order</w:t>
      </w:r>
      <w:r>
        <w:rPr>
          <w:rFonts w:ascii="Times New Roman" w:cs="Times New Roman" w:eastAsia="Times New Roman" w:hAnsi="Times New Roman"/>
          <w:sz w:val="18"/>
          <w:szCs w:val="18"/>
          <w:color w:val="auto"/>
        </w:rPr>
        <w:t>,” and together with the Initial Interim DIP Order and the Replacement Interim DIP Order, the “</w:t>
      </w:r>
      <w:r>
        <w:rPr>
          <w:rFonts w:ascii="Times New Roman" w:cs="Times New Roman" w:eastAsia="Times New Roman" w:hAnsi="Times New Roman"/>
          <w:sz w:val="18"/>
          <w:szCs w:val="18"/>
          <w:b w:val="1"/>
          <w:bCs w:val="1"/>
          <w:color w:val="auto"/>
        </w:rPr>
        <w:t>DIP Orders</w:t>
      </w:r>
      <w:r>
        <w:rPr>
          <w:rFonts w:ascii="Times New Roman" w:cs="Times New Roman" w:eastAsia="Times New Roman" w:hAnsi="Times New Roman"/>
          <w:sz w:val="18"/>
          <w:szCs w:val="18"/>
          <w:color w:val="auto"/>
        </w:rPr>
        <w:t>”) granting the relief requested in the Replacement DIP Motion on a final basis. The Final Replacement DIP Order authorized the Debtor to borrow up to $35 million under the Replacement DIP Facility ($17 million more than was authorized by the Replacement Interim DIP Order). During the Reporting Period, (i) the Debtor drew $7 million in additional DIP Obligations under the Replacement Final DIP Order, and (ii) FSI credit bid $250,000 of DIP Obligations in connection with the FSI Equipment Sale (as defined below).</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Prepetition Claims Pursuant to First Day Orders</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certain interim orders of the Court entered on or about June 24, 2026 and final orders of the Court entered on or about July 21, 2026 (the “</w:t>
      </w:r>
      <w:r>
        <w:rPr>
          <w:rFonts w:ascii="Times New Roman" w:cs="Times New Roman" w:eastAsia="Times New Roman" w:hAnsi="Times New Roman"/>
          <w:sz w:val="18"/>
          <w:szCs w:val="18"/>
          <w:b w:val="1"/>
          <w:bCs w:val="1"/>
          <w:color w:val="auto"/>
        </w:rPr>
        <w:t>First Day Orders</w:t>
      </w:r>
      <w:r>
        <w:rPr>
          <w:rFonts w:ascii="Times New Roman" w:cs="Times New Roman" w:eastAsia="Times New Roman" w:hAnsi="Times New Roman"/>
          <w:sz w:val="18"/>
          <w:szCs w:val="18"/>
          <w:color w:val="auto"/>
        </w:rPr>
        <w:t>”), the Debtor is authorized (but not directed) to pay, among other things, certain prepetition claims of employees and taxing authorities. Accordingly, these liabilities may have been or may be satisfied in accordance with such First Day Orders. To the extent any payments were made on account of prepetition claims following the Petition Date pursuant to the authority granted to the Debtor under the First Day Orders, such payments have been included in the MOR (subject to the notes and statements and limitations provided herein).</w:t>
      </w:r>
    </w:p>
    <w:p>
      <w:pPr>
        <w:sectPr>
          <w:pgSz w:w="11900" w:h="16838" w:orient="portrait"/>
          <w:cols w:equalWidth="0" w:num="1">
            <w:col w:w="10960"/>
          </w:cols>
          <w:pgMar w:left="440" w:top="266" w:right="4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Rights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MOR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Cash Receipts and Disbursements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DIP Orders, fees and expenses of estate professionals were placed into the Professional Fees Account (as defined in the DIP Orders) maintained by the Debtor. The transfer of such funds to the Professional Fee Account were treated as a transfer between Debtor accounts, and, therefore, were not treated as a distribution in Part 1(c). Professional fees will be treated as a disbursement in the reporting period in which they are paid to the applicable professionals.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Similarly, pursuant to the interim and final orders approving, among other things, the Debtor’s proposed form of adequate assurance of payment to utility companies [Docket Nos. 56 &amp; 142] (the “</w:t>
      </w:r>
      <w:r>
        <w:rPr>
          <w:rFonts w:ascii="Times New Roman" w:cs="Times New Roman" w:eastAsia="Times New Roman" w:hAnsi="Times New Roman"/>
          <w:sz w:val="18"/>
          <w:szCs w:val="18"/>
          <w:b w:val="1"/>
          <w:bCs w:val="1"/>
          <w:color w:val="auto"/>
        </w:rPr>
        <w:t>Utilities Orders</w:t>
      </w:r>
      <w:r>
        <w:rPr>
          <w:rFonts w:ascii="Times New Roman" w:cs="Times New Roman" w:eastAsia="Times New Roman" w:hAnsi="Times New Roman"/>
          <w:sz w:val="18"/>
          <w:szCs w:val="18"/>
          <w:color w:val="auto"/>
        </w:rPr>
        <w:t>”), the Debtor deposited funds into the Utility Deposit Account (as defined in the Utilities Orders) prior to the Reporting Period. The Utility Deposit Account is a segregated account maintained by the Debtor. Accordingly, the funds in such account will be treated as disbursements only if they are ultimately paid to a third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2: Asset and Liability Status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continues to pay postpetition invoices on account of postpetition goods provided and services rendered in the ordinary course of business.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w:t>
      </w:r>
    </w:p>
    <w:p>
      <w:pPr>
        <w:sectPr>
          <w:pgSz w:w="11900" w:h="16838" w:orient="portrait"/>
          <w:cols w:equalWidth="0" w:num="1">
            <w:col w:w="11000"/>
          </w:cols>
          <w:pgMar w:left="440" w:top="266" w:right="459" w:bottom="1440" w:gutter="0" w:footer="0" w:header="0"/>
        </w:sectPr>
      </w:pPr>
    </w:p>
    <w:bookmarkStart w:id="48" w:name="page49"/>
    <w:bookmarkEnd w:id="48"/>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amounts listed as “Prepetition Secured Debt,” “Prepetition Priority Debt” and “Prepetition Unsecured Debt” are preliminary and are subject to ongoing review and reconciliation by the Debtor. All amounts and classifications are subject to material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Part 2c, the Debtor does not hold inventory; therefore, no inventory valuation method is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to Part 3: Assets Sold or Transferred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20, 2026, the Court entered: (i) an order [Docket No. 356] approving the sale (the “</w:t>
      </w:r>
      <w:r>
        <w:rPr>
          <w:rFonts w:ascii="Times New Roman" w:cs="Times New Roman" w:eastAsia="Times New Roman" w:hAnsi="Times New Roman"/>
          <w:sz w:val="18"/>
          <w:szCs w:val="18"/>
          <w:b w:val="1"/>
          <w:bCs w:val="1"/>
          <w:color w:val="auto"/>
        </w:rPr>
        <w:t>Surplus Equipment Sale</w:t>
      </w:r>
      <w:r>
        <w:rPr>
          <w:rFonts w:ascii="Times New Roman" w:cs="Times New Roman" w:eastAsia="Times New Roman" w:hAnsi="Times New Roman"/>
          <w:sz w:val="18"/>
          <w:szCs w:val="18"/>
          <w:color w:val="auto"/>
        </w:rPr>
        <w:t>”) of certain equipment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to Surplus Solutions, LLC for $2,300,000 plus certain other consideration, and (ii) an order [Docket No. 358] approving the sale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FSI Equipment Sale</w:t>
      </w:r>
      <w:r>
        <w:rPr>
          <w:rFonts w:ascii="Times New Roman" w:cs="Times New Roman" w:eastAsia="Times New Roman" w:hAnsi="Times New Roman"/>
          <w:sz w:val="18"/>
          <w:szCs w:val="18"/>
          <w:color w:val="auto"/>
        </w:rPr>
        <w:t>,” and together with the Surplus Equipment Sale, the “</w:t>
      </w:r>
      <w:r>
        <w:rPr>
          <w:rFonts w:ascii="Times New Roman" w:cs="Times New Roman" w:eastAsia="Times New Roman" w:hAnsi="Times New Roman"/>
          <w:sz w:val="18"/>
          <w:szCs w:val="18"/>
          <w:b w:val="1"/>
          <w:bCs w:val="1"/>
          <w:color w:val="auto"/>
        </w:rPr>
        <w:t>Equipment Sales</w:t>
      </w:r>
      <w:r>
        <w:rPr>
          <w:rFonts w:ascii="Times New Roman" w:cs="Times New Roman" w:eastAsia="Times New Roman" w:hAnsi="Times New Roman"/>
          <w:sz w:val="18"/>
          <w:szCs w:val="18"/>
          <w:color w:val="auto"/>
        </w:rPr>
        <w:t>”) of certain lab equipment to FSI for an offset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$250,000 against the DIP Obligations (as defined in the Replacement Final DIP Order) plus certain other consideration. Both equipment sales closed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about August 20,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5: Professional Fees and Expenses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payments to professionals were authorized by the Court’s orders approving the retention of various professionals in this Chapter 11 Case. For the Reporting Period, such amounts represent: (i) fees paid to Kurtzman Carson Consultants, LLC dba Verita Global for services performed and expenses incurred in connection with its retention as claims and noticing agent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Docket No. 55), and (ii) a monthly fee payable to Raymond James &amp; Associates, Inc., which is payable each month without a prior fee application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Docket No. 276).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6: Postpetition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Regarding </w:t>
      </w:r>
      <w:r>
        <w:rPr>
          <w:rFonts w:ascii="Times New Roman" w:cs="Times New Roman" w:eastAsia="Times New Roman" w:hAnsi="Times New Roman"/>
          <w:sz w:val="18"/>
          <w:szCs w:val="18"/>
          <w:u w:val="single" w:color="auto"/>
          <w:color w:val="auto"/>
        </w:rPr>
        <w:t>Part 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6d</w:t>
      </w:r>
      <w:r>
        <w:rPr>
          <w:rFonts w:ascii="Times New Roman" w:cs="Times New Roman" w:eastAsia="Times New Roman" w:hAnsi="Times New Roman"/>
          <w:sz w:val="18"/>
          <w:szCs w:val="18"/>
          <w:color w:val="auto"/>
        </w:rPr>
        <w:t>, postpetition employer payroll taxes accrued and paid include both the employer and employee portions of payroll taxes.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7: Questionnaire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attached attestations regarding post-petition borrowing, payments on prepetition debt, and payments to insiders.</w:t>
      </w:r>
    </w:p>
    <w:p>
      <w:pPr>
        <w:sectPr>
          <w:pgSz w:w="11900" w:h="16838" w:orient="portrait"/>
          <w:cols w:equalWidth="0" w:num="1">
            <w:col w:w="10940"/>
          </w:cols>
          <w:pgMar w:left="440" w:top="270" w:right="51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Post-Petition Borrowing Activity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August 1, 2026 – August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postpetition borrowing during the period of August 1, 2026 through August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Final Order (A) Authorizing the Debtor to Obtain Replacement Postpetition Financing, (B) Granting Liens and Providing Claims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Superpriority Administrative Expense Status, (C) Modifying Automatic Stay, (D) Scheduling Final Hearing, and (E) Granting Related Relief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[Docket No. 360] (the “</w:t>
      </w:r>
      <w:r>
        <w:rPr>
          <w:rFonts w:ascii="Times New Roman" w:cs="Times New Roman" w:eastAsia="Times New Roman" w:hAnsi="Times New Roman"/>
          <w:sz w:val="18"/>
          <w:szCs w:val="18"/>
          <w:b w:val="1"/>
          <w:bCs w:val="1"/>
          <w:color w:val="auto"/>
        </w:rPr>
        <w:t>Replacement Final DIP Order</w:t>
      </w:r>
      <w:r>
        <w:rPr>
          <w:rFonts w:ascii="Times New Roman" w:cs="Times New Roman" w:eastAsia="Times New Roman" w:hAnsi="Times New Roman"/>
          <w:sz w:val="18"/>
          <w:szCs w:val="18"/>
          <w:color w:val="auto"/>
        </w:rPr>
        <w:t>”) during the reporting period: (i) the Debtor incurred $7 million in DIP Obligations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DIP Facility (each as defined in the Replacement Final DIP Order), and (ii) FSI credit bid $250,000 of DIP Obligations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FSI Equipment Sale.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on Prepetition Debt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August 1, 2026 – August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All payments made by the Debtor during the Reporting Period (and included in the disbursements reported in this MOR) were authorized under various final orders granted by the Court, which authorized the Debtor’s various motions that were filed following the commencement of the chapter 11 case.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7(b) and 7(h) Payments Without Court Approval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July 1, 2026 –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Payments made by the Debtor to Rothwell, Figg, Ernst &amp; Manbeck, P.C. and Kilpatrick Townsend &amp; Stockton LLP were inadvertently made prior to such firm’s retention as ordinary course professionals in accordance with the OCP Order [Docket No. 202].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to Insiders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August 1, 2026 – August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payments to insiders during the period of August 1, 2026 through August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insiders, all cash payments made were on account of ordinary course salaries and authorized travel and expense reimbursements.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31, 2026, the Court entered an order [Docket No. 216], among other things, authorizing the Debtor to implement a key employee retention program and a key employee incentive program (the “</w:t>
      </w:r>
      <w:r>
        <w:rPr>
          <w:rFonts w:ascii="Times New Roman" w:cs="Times New Roman" w:eastAsia="Times New Roman" w:hAnsi="Times New Roman"/>
          <w:sz w:val="18"/>
          <w:szCs w:val="18"/>
          <w:b w:val="1"/>
          <w:bCs w:val="1"/>
          <w:color w:val="auto"/>
        </w:rPr>
        <w:t>KEIP/KERP Programs</w:t>
      </w:r>
      <w:r>
        <w:rPr>
          <w:rFonts w:ascii="Times New Roman" w:cs="Times New Roman" w:eastAsia="Times New Roman" w:hAnsi="Times New Roman"/>
          <w:sz w:val="18"/>
          <w:szCs w:val="18"/>
          <w:color w:val="auto"/>
        </w:rPr>
        <w:t>”). No payments were made under the KEIP/KERP Programs to insiders or otherwise during the Reporting Period.</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set forth in the Debtor’s motion seeking authority to pay prepetition employee obligations [Docket No. 9], the Debtor maintained certain equity-based compensation programs prior to the Petition Date. Pursuant to such programs, certain employees, including certain executives that may be insiders, were awarded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prior to the Petition Date. During the Reporting Period, 213,628 RSUs awarded to 74 individuals prior to the Petition Date vested. For the avoidance of doubt, the Debtor stopped awarding RSUs prior to the Petition Date and no RSUs or any other form of equity-based compensation have been awarded since the Petition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 other non-cash transfers were made during this reporting period.</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 bank statements and bank reconciliations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699516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August 1, 2026 – August 31, 2026</w:t>
      </w:r>
    </w:p>
    <w:p>
      <w:pPr>
        <w:spacing w:after="0" w:line="200" w:lineRule="exact"/>
        <w:rPr>
          <w:sz w:val="20"/>
          <w:szCs w:val="20"/>
          <w:color w:val="auto"/>
        </w:rPr>
      </w:pPr>
    </w:p>
    <w:p>
      <w:pPr>
        <w:sectPr>
          <w:pgSz w:w="11900" w:h="16838" w:orient="portrait"/>
          <w:cols w:equalWidth="0" w:num="2">
            <w:col w:w="5340" w:space="40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Debtor hereby submits this attestation regarding bank account reconciliations in lieu of providing copies of bank statements, bank reconciliations, and journal entries.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Debtor’s standard practice is to ensure that bank reconciliations are completed as part of the month end close each reporting period. I attest that each of the Debtor’s bank accounts has been reconciled in accordance with its standard practices.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Sangamo Therapeutics,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Sold or Transferred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August 1, 2026 – August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assets sold or transferred during the period of August 1, 2026 through August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20, 2026, the Court entered: (i) an order [Docket No. 356] approving the sale (the “</w:t>
      </w:r>
      <w:r>
        <w:rPr>
          <w:rFonts w:ascii="Times New Roman" w:cs="Times New Roman" w:eastAsia="Times New Roman" w:hAnsi="Times New Roman"/>
          <w:sz w:val="18"/>
          <w:szCs w:val="18"/>
          <w:b w:val="1"/>
          <w:bCs w:val="1"/>
          <w:color w:val="auto"/>
        </w:rPr>
        <w:t>Surplus Equipment Sale</w:t>
      </w:r>
      <w:r>
        <w:rPr>
          <w:rFonts w:ascii="Times New Roman" w:cs="Times New Roman" w:eastAsia="Times New Roman" w:hAnsi="Times New Roman"/>
          <w:sz w:val="18"/>
          <w:szCs w:val="18"/>
          <w:color w:val="auto"/>
        </w:rPr>
        <w:t>”) of certain equipment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to Surplus Solutions, LLC for $2,300,000 plus certain other consideration, and (ii) an order [Docket No. 358] approving the sale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FSI Equipment Sale</w:t>
      </w:r>
      <w:r>
        <w:rPr>
          <w:rFonts w:ascii="Times New Roman" w:cs="Times New Roman" w:eastAsia="Times New Roman" w:hAnsi="Times New Roman"/>
          <w:sz w:val="18"/>
          <w:szCs w:val="18"/>
          <w:color w:val="auto"/>
        </w:rPr>
        <w:t>,” and together with the Surplus Equipment Sales, the “</w:t>
      </w:r>
      <w:r>
        <w:rPr>
          <w:rFonts w:ascii="Times New Roman" w:cs="Times New Roman" w:eastAsia="Times New Roman" w:hAnsi="Times New Roman"/>
          <w:sz w:val="18"/>
          <w:szCs w:val="18"/>
          <w:b w:val="1"/>
          <w:bCs w:val="1"/>
          <w:color w:val="auto"/>
        </w:rPr>
        <w:t>Equipment Sales</w:t>
      </w:r>
      <w:r>
        <w:rPr>
          <w:rFonts w:ascii="Times New Roman" w:cs="Times New Roman" w:eastAsia="Times New Roman" w:hAnsi="Times New Roman"/>
          <w:sz w:val="18"/>
          <w:szCs w:val="18"/>
          <w:color w:val="auto"/>
        </w:rPr>
        <w:t>”) of certain lab equipment to FSI for an offset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against the DIP Obligations (as defined in the Replacement Final DIP Order) plus certain other consideration. Both equipment sales closed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about August 20,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 #3 - Statement of cash receipts and disbursements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07/01/2026 -</w:t>
            </w:r>
          </w:p>
        </w:tc>
        <w:tc>
          <w:tcPr>
            <w:tcW w:w="18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08/01/2026 -</w:t>
            </w:r>
          </w:p>
        </w:tc>
        <w:tc>
          <w:tcPr>
            <w:tcW w:w="60" w:type="dxa"/>
            <w:vAlign w:val="bottom"/>
          </w:tcPr>
          <w:p>
            <w:pPr>
              <w:spacing w:after="0"/>
              <w:rPr>
                <w:sz w:val="13"/>
                <w:szCs w:val="13"/>
                <w:color w:val="auto"/>
              </w:rPr>
            </w:pPr>
          </w:p>
        </w:tc>
      </w:tr>
      <w:tr>
        <w:trPr>
          <w:trHeight w:val="171"/>
        </w:trPr>
        <w:tc>
          <w:tcPr>
            <w:tcW w:w="4940" w:type="dxa"/>
            <w:vAlign w:val="bottom"/>
          </w:tcPr>
          <w:p>
            <w:pPr>
              <w:spacing w:after="0"/>
              <w:rPr>
                <w:sz w:val="14"/>
                <w:szCs w:val="14"/>
                <w:color w:val="auto"/>
              </w:rPr>
            </w:pP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07/31/2026</w:t>
            </w:r>
          </w:p>
        </w:tc>
        <w:tc>
          <w:tcPr>
            <w:tcW w:w="1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08/31/2026</w:t>
            </w:r>
          </w:p>
        </w:tc>
        <w:tc>
          <w:tcPr>
            <w:tcW w:w="60" w:type="dxa"/>
            <w:vAlign w:val="bottom"/>
          </w:tcPr>
          <w:p>
            <w:pPr>
              <w:spacing w:after="0"/>
              <w:rPr>
                <w:sz w:val="14"/>
                <w:szCs w:val="14"/>
                <w:color w:val="auto"/>
              </w:rPr>
            </w:pPr>
          </w:p>
        </w:tc>
      </w:tr>
      <w:tr>
        <w:trPr>
          <w:trHeight w:val="196"/>
        </w:trPr>
        <w:tc>
          <w:tcPr>
            <w:tcW w:w="494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Receipts</w:t>
            </w:r>
          </w:p>
        </w:tc>
        <w:tc>
          <w:tcPr>
            <w:tcW w:w="4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Receipts</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DIP Draw</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Receipts</w:t>
            </w:r>
          </w:p>
        </w:tc>
        <w:tc>
          <w:tcPr>
            <w:tcW w:w="4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 Disbursements</w:t>
            </w: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Payroll &amp; Benefits</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Rent &amp; Facilities</w:t>
            </w: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Program Costs</w:t>
            </w: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Operating Disbursements</w:t>
            </w:r>
          </w:p>
        </w:tc>
        <w:tc>
          <w:tcPr>
            <w:tcW w:w="4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Operational Disbursements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3,057</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Disbursements</w:t>
            </w: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Trustee Fees</w:t>
            </w: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DIP Interest &amp; Fees</w:t>
            </w: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DIP Repayments</w:t>
            </w:r>
          </w:p>
        </w:tc>
        <w:tc>
          <w:tcPr>
            <w:tcW w:w="4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Disbursements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6,319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16,907</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4340" w:type="dxa"/>
            <w:vAlign w:val="bottom"/>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1 of 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#3 - Balance sheet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07/31/2026</w:t>
            </w:r>
          </w:p>
        </w:tc>
        <w:tc>
          <w:tcPr>
            <w:tcW w:w="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08/31/2026</w:t>
            </w:r>
          </w:p>
        </w:tc>
        <w:tc>
          <w:tcPr>
            <w:tcW w:w="12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16,910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2,111</w:t>
            </w:r>
          </w:p>
        </w:tc>
      </w:tr>
      <w:tr>
        <w:trPr>
          <w:trHeight w:val="27"/>
        </w:trPr>
        <w:tc>
          <w:tcPr>
            <w:tcW w:w="6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20,387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25,399</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9,430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Right of Use Assets</w:t>
            </w:r>
            <w:r>
              <w:rPr>
                <w:rFonts w:ascii="Times New Roman" w:cs="Times New Roman" w:eastAsia="Times New Roman" w:hAnsi="Times New Roman"/>
                <w:sz w:val="25"/>
                <w:szCs w:val="25"/>
                <w:color w:val="auto"/>
                <w:vertAlign w:val="superscript"/>
              </w:rPr>
              <w:t>3</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2,694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115,762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115,762</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Receivables - Non-Current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6,106</w:t>
            </w:r>
          </w:p>
        </w:tc>
      </w:tr>
      <w:tr>
        <w:trPr>
          <w:trHeight w:val="27"/>
        </w:trPr>
        <w:tc>
          <w:tcPr>
            <w:tcW w:w="6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134,731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122,483</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155,118</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147,882</w:t>
            </w:r>
          </w:p>
        </w:tc>
        <w:tc>
          <w:tcPr>
            <w:tcW w:w="12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 and Accrued Liabilities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36,735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44,182</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17,304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17,397</w:t>
            </w:r>
          </w:p>
        </w:tc>
      </w:tr>
      <w:tr>
        <w:trPr>
          <w:trHeight w:val="216"/>
        </w:trPr>
        <w:tc>
          <w:tcPr>
            <w:tcW w:w="61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DIP Loan Payables</w:t>
            </w:r>
            <w:r>
              <w:rPr>
                <w:rFonts w:ascii="Times New Roman" w:cs="Times New Roman" w:eastAsia="Times New Roman" w:hAnsi="Times New Roman"/>
                <w:sz w:val="25"/>
                <w:szCs w:val="25"/>
                <w:color w:val="auto"/>
                <w:vertAlign w:val="superscript"/>
              </w:rPr>
              <w:t>2</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24,942</w:t>
            </w:r>
          </w:p>
        </w:tc>
      </w:tr>
      <w:tr>
        <w:trPr>
          <w:trHeight w:val="216"/>
        </w:trPr>
        <w:tc>
          <w:tcPr>
            <w:tcW w:w="6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Current Liabilities</w:t>
            </w:r>
            <w:r>
              <w:rPr>
                <w:rFonts w:ascii="Times New Roman" w:cs="Times New Roman" w:eastAsia="Times New Roman" w:hAnsi="Times New Roman"/>
                <w:sz w:val="25"/>
                <w:szCs w:val="25"/>
                <w:color w:val="auto"/>
                <w:vertAlign w:val="superscript"/>
              </w:rPr>
              <w:t>1</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8,713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9,723</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Current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42,687</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42,903</w:t>
            </w:r>
          </w:p>
        </w:tc>
      </w:tr>
      <w:tr>
        <w:trPr>
          <w:trHeight w:val="216"/>
        </w:trPr>
        <w:tc>
          <w:tcPr>
            <w:tcW w:w="6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Non-Current Liabilities</w:t>
            </w:r>
            <w:r>
              <w:rPr>
                <w:rFonts w:ascii="Times New Roman" w:cs="Times New Roman" w:eastAsia="Times New Roman" w:hAnsi="Times New Roman"/>
                <w:sz w:val="25"/>
                <w:szCs w:val="25"/>
                <w:color w:val="auto"/>
                <w:vertAlign w:val="superscript"/>
              </w:rPr>
              <w:t>1</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23,240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14,754</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Non-Current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r>
      <w:tr>
        <w:trPr>
          <w:trHeight w:val="27"/>
        </w:trPr>
        <w:tc>
          <w:tcPr>
            <w:tcW w:w="6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147,383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154,609</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1,643,342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1,643,328</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97"/>
              </w:rPr>
              <w:t>(1,564,836)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(1,564,836)</w:t>
            </w: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Equity</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(70,741)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(85,190)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7,735</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6,727)</w:t>
            </w:r>
          </w:p>
        </w:tc>
      </w:tr>
      <w:tr>
        <w:trPr>
          <w:trHeight w:val="27"/>
        </w:trPr>
        <w:tc>
          <w:tcPr>
            <w:tcW w:w="6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155,118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147,882</w:t>
            </w:r>
          </w:p>
        </w:tc>
      </w:tr>
      <w:tr>
        <w:trPr>
          <w:trHeight w:val="20"/>
        </w:trPr>
        <w:tc>
          <w:tcPr>
            <w:tcW w:w="6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135"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w:t>
      </w:r>
    </w:p>
    <w:p>
      <w:pPr>
        <w:spacing w:after="0" w:line="2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w:t>
      </w:r>
    </w:p>
    <w:p>
      <w:pPr>
        <w:spacing w:after="0" w:line="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the Richmond lease is presented as a one-year liability, estimated for lease rejection purposes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accrued August DIP interest of $192K (paid 9/2); net of FSI’s $250K lab equipment credit bid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written off in August in connection with the wind-down of Richmond facility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of 4</w:t>
      </w:r>
    </w:p>
    <w:p>
      <w:pPr>
        <w:sectPr>
          <w:pgSz w:w="11900" w:h="16838" w:orient="portrait"/>
          <w:cols w:equalWidth="0" w:num="1">
            <w:col w:w="11024"/>
          </w:cols>
          <w:pgMar w:left="436" w:top="266" w:right="439" w:bottom="1440" w:gutter="0" w:footer="0" w:header="0"/>
        </w:sectPr>
      </w:pPr>
    </w:p>
    <w:bookmarkStart w:id="57" w:name="page58"/>
    <w:bookmarkEnd w:id="5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#3 - Statement of operations (profit or loss statement)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07/01/2026 -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08/01/2026 -</w:t>
            </w:r>
          </w:p>
        </w:tc>
        <w:tc>
          <w:tcPr>
            <w:tcW w:w="120" w:type="dxa"/>
            <w:vAlign w:val="bottom"/>
          </w:tcPr>
          <w:p>
            <w:pPr>
              <w:spacing w:after="0"/>
              <w:rPr>
                <w:sz w:val="13"/>
                <w:szCs w:val="13"/>
                <w:color w:val="auto"/>
              </w:rPr>
            </w:pPr>
          </w:p>
        </w:tc>
      </w:tr>
      <w:tr>
        <w:trPr>
          <w:trHeight w:val="171"/>
        </w:trPr>
        <w:tc>
          <w:tcPr>
            <w:tcW w:w="90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07/31/2026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08/31/2026</w:t>
            </w:r>
          </w:p>
        </w:tc>
        <w:tc>
          <w:tcPr>
            <w:tcW w:w="120" w:type="dxa"/>
            <w:vAlign w:val="bottom"/>
          </w:tcPr>
          <w:p>
            <w:pPr>
              <w:spacing w:after="0"/>
              <w:rPr>
                <w:sz w:val="14"/>
                <w:szCs w:val="14"/>
                <w:color w:val="auto"/>
              </w:rPr>
            </w:pP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COGS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430</w:t>
            </w:r>
          </w:p>
        </w:tc>
      </w:tr>
      <w:tr>
        <w:trPr>
          <w:trHeight w:val="216"/>
        </w:trPr>
        <w:tc>
          <w:tcPr>
            <w:tcW w:w="9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Personnel &amp; Staffing Costs</w:t>
            </w:r>
            <w:r>
              <w:rPr>
                <w:rFonts w:ascii="Times New Roman" w:cs="Times New Roman" w:eastAsia="Times New Roman" w:hAnsi="Times New Roman"/>
                <w:sz w:val="25"/>
                <w:szCs w:val="25"/>
                <w:color w:val="auto"/>
                <w:vertAlign w:val="superscript"/>
              </w:rPr>
              <w:t>1</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9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R&amp;D Expenses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9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Facilities &amp; OH Expenses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9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I/C Expenses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9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Restructuring Expenses</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9,980</w:t>
            </w: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and/or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14,592</w:t>
            </w:r>
          </w:p>
        </w:tc>
        <w:tc>
          <w:tcPr>
            <w:tcW w:w="120" w:type="dxa"/>
            <w:vAlign w:val="bottom"/>
          </w:tcPr>
          <w:p>
            <w:pPr>
              <w:spacing w:after="0"/>
              <w:rPr>
                <w:sz w:val="19"/>
                <w:szCs w:val="19"/>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FX (Gain)/Loss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(Income)/Expense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287</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under “General and Administrative Expenses” for MOR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under “Other Expenses” for MOR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professional fees and asset write-offs/disposals, net of lease rejection gains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D&amp;O insurance expense for prior months not previously recognized, recorded in August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 of 4</w:t>
      </w:r>
    </w:p>
    <w:p>
      <w:pPr>
        <w:sectPr>
          <w:pgSz w:w="11900" w:h="16838" w:orient="portrait"/>
          <w:cols w:equalWidth="0" w:num="1">
            <w:col w:w="11024"/>
          </w:cols>
          <w:pgMar w:left="436" w:top="266"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 #3 - Detailed explanations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2 - Question C -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Sangamo does not hold inventory; therefore, no inventory valuation method is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7 - Question G - Was there any postpetition borrowing, other than trade credit?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Detail</w:t>
            </w:r>
          </w:p>
        </w:tc>
        <w:tc>
          <w:tcPr>
            <w:tcW w:w="300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Payee/Lender Name</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DIP draw</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8/21/2026</w:t>
            </w:r>
          </w:p>
        </w:tc>
        <w:tc>
          <w:tcPr>
            <w:tcW w:w="22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Future Solution Investments LLC</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7,000,000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365"/>
        </w:trPr>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 of 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9" w:name="page60"/>
    <w:bookmarkEnd w:id="59"/>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26-10989-CTG Sangamo Therapeutics, Inc.</w:t>
      </w:r>
    </w:p>
    <w:p>
      <w:pPr>
        <w:sectPr>
          <w:pgSz w:w="11900" w:h="16908" w:orient="portrait"/>
          <w:cols w:equalWidth="0" w:num="1">
            <w:col w:w="10740"/>
          </w:cols>
          <w:pgMar w:left="440" w:top="266" w:right="71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bk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Chapter: 11 v</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Judge: CTG</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(Delaware)</w:t>
      </w:r>
    </w:p>
    <w:p>
      <w:pPr>
        <w:spacing w:after="0" w:line="434" w:lineRule="exact"/>
        <w:rPr>
          <w:sz w:val="20"/>
          <w:szCs w:val="20"/>
          <w:color w:val="auto"/>
        </w:rPr>
      </w:pPr>
    </w:p>
    <w:p>
      <w:pPr>
        <w:sectPr>
          <w:pgSz w:w="11900" w:h="16908" w:orient="portrait"/>
          <w:cols w:equalWidth="0" w:num="3">
            <w:col w:w="2040" w:space="720"/>
            <w:col w:w="1800" w:space="720"/>
            <w:col w:w="5460"/>
          </w:cols>
          <w:pgMar w:left="440" w:top="266" w:right="71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Flag: CLMSAGNT, LeadSC, PlnDue, DsclsDue, STANDOrder, SealedDoc(s)</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 Bankruptcy Court</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District of Delaware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Electronic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 was received from James McCauley entered on 10/23/2026 at 1:03 PM EDT and filed on 10/23/2026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Case Name:</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Sangamo Therapeutics, Inc.</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Case Number:</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26-10989-CTG</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 Number:</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Docket Text: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Amended Chapter 11 Monthly Operating Report for the Month Ending: 08/31/2026 (related document(s)[513]) Filed by Sangamo Therapeutics, Inc.. (McCauley, James)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associated with this transaction: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 description:</w:t>
      </w:r>
      <w:r>
        <w:rPr>
          <w:rFonts w:ascii="Times New Roman" w:cs="Times New Roman" w:eastAsia="Times New Roman" w:hAnsi="Times New Roman"/>
          <w:sz w:val="18"/>
          <w:szCs w:val="18"/>
          <w:color w:val="auto"/>
        </w:rPr>
        <w:t>Main Document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filename:</w:t>
      </w:r>
      <w:r>
        <w:rPr>
          <w:rFonts w:ascii="Times New Roman" w:cs="Times New Roman" w:eastAsia="Times New Roman" w:hAnsi="Times New Roman"/>
          <w:sz w:val="18"/>
          <w:szCs w:val="18"/>
          <w:color w:val="auto"/>
        </w:rPr>
        <w:t>SGMO - August 2026 MOR [AMENDED].pdf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document Stamp:</w:t>
      </w:r>
    </w:p>
    <w:p>
      <w:pPr>
        <w:spacing w:after="0" w:line="9" w:lineRule="exact"/>
        <w:rPr>
          <w:sz w:val="20"/>
          <w:szCs w:val="20"/>
          <w:color w:val="auto"/>
        </w:rPr>
      </w:pPr>
    </w:p>
    <w:p>
      <w:pPr>
        <w:ind w:right="4520"/>
        <w:spacing w:after="0" w:line="255" w:lineRule="auto"/>
        <w:rPr>
          <w:sz w:val="20"/>
          <w:szCs w:val="20"/>
          <w:color w:val="auto"/>
        </w:rPr>
      </w:pPr>
      <w:r>
        <w:rPr>
          <w:rFonts w:ascii="Times New Roman" w:cs="Times New Roman" w:eastAsia="Times New Roman" w:hAnsi="Times New Roman"/>
          <w:sz w:val="18"/>
          <w:szCs w:val="18"/>
          <w:color w:val="auto"/>
        </w:rPr>
        <w:t>[STAMP bkecfStamp_ID=983460418 [Date=10/23/2026] [FileNumber=20049567- 0] [69bdb41297fe57581063fc1b02a27c05cfe148b80b016323f14884f454e676452d c3558b420144fafd3a3b88f7bf8f2480d23e562f046a964696f82bb68edf46]]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26-10989-CTG Notice will be electronically mailed 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A. Adlerstein on behalf of Interested Party Eli Lilly and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jadlerstein@paulweiss.com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Elihu Ezekiel Allinson, III on behalf of Interested Party Shire Human Genetic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ZAllinson@SHA-LLC.com, ecf@williamdsullivanllc.com;hcoleman@sha-llc.com</w:t>
      </w:r>
    </w:p>
    <w:p>
      <w:pPr>
        <w:spacing w:after="0" w:line="99" w:lineRule="exact"/>
        <w:rPr>
          <w:sz w:val="20"/>
          <w:szCs w:val="20"/>
          <w:color w:val="auto"/>
        </w:rPr>
      </w:pPr>
    </w:p>
    <w:p>
      <w:pPr>
        <w:ind w:right="4900"/>
        <w:spacing w:after="0" w:line="312" w:lineRule="auto"/>
        <w:rPr>
          <w:sz w:val="20"/>
          <w:szCs w:val="20"/>
          <w:color w:val="auto"/>
        </w:rPr>
      </w:pPr>
      <w:r>
        <w:rPr>
          <w:rFonts w:ascii="Times New Roman" w:cs="Times New Roman" w:eastAsia="Times New Roman" w:hAnsi="Times New Roman"/>
          <w:sz w:val="17"/>
          <w:szCs w:val="17"/>
          <w:color w:val="auto"/>
        </w:rPr>
        <w:t>Olya Antle on behalf of Debtor Sangamo Therapeutics, Inc. oantle@cooley.com, efilingnotice@cooley.com;efiling-notice@ecf.pacerpro.com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 Argentina, Jr. on behalf of Creditor VWR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joseph.argentina@faegredrinker.com, cathy.greer@faegredrinker.com</w:t>
      </w:r>
    </w:p>
    <w:p>
      <w:pPr>
        <w:spacing w:after="0" w:line="99" w:lineRule="exact"/>
        <w:rPr>
          <w:sz w:val="20"/>
          <w:szCs w:val="20"/>
          <w:color w:val="auto"/>
        </w:rPr>
      </w:pPr>
    </w:p>
    <w:p>
      <w:pPr>
        <w:ind w:right="1860"/>
        <w:spacing w:after="0" w:line="282" w:lineRule="auto"/>
        <w:rPr>
          <w:sz w:val="20"/>
          <w:szCs w:val="20"/>
          <w:color w:val="auto"/>
        </w:rPr>
      </w:pPr>
      <w:r>
        <w:rPr>
          <w:rFonts w:ascii="Times New Roman" w:cs="Times New Roman" w:eastAsia="Times New Roman" w:hAnsi="Times New Roman"/>
          <w:sz w:val="18"/>
          <w:szCs w:val="18"/>
          <w:color w:val="auto"/>
        </w:rPr>
        <w:t>Darren Azman on behalf of Creditor Committee Official Committee of Unsecured Creditors of Sangamo Therapeutics, Inc. dazman@mcdermottlaw.com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Brooks on behalf of Interested Party PTC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brooks@lrclaw.com, ramirez@lrclaw.com;huynh@lrclaw.com;hitchens@lrclaw.com;ford@lrclaw.com;kittinger@lrclaw.com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R. Buck on behalf of Interested Party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kbuck@mccarter.com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J. Casey on behalf of U.S. Trustee U.S.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Linda.Casey@usdoj.gov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Chavez on behalf of Interested Party PTC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austin.chavez@wilmerhale.com, Mike.McGuinness@wilmerhale.com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M. Christianson on behalf of Creditor Oracle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schristianson@buchalter.com, cmcintire@buchalter.com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Copeland on behalf of Interested Party Northridge ATM,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james.copeland@nortonrosefulbright.com</w:t>
      </w:r>
    </w:p>
    <w:p>
      <w:pPr>
        <w:spacing w:after="0" w:line="99" w:lineRule="exact"/>
        <w:rPr>
          <w:sz w:val="20"/>
          <w:szCs w:val="20"/>
          <w:color w:val="auto"/>
        </w:rPr>
      </w:pPr>
    </w:p>
    <w:p>
      <w:pPr>
        <w:ind w:right="4720"/>
        <w:spacing w:after="0" w:line="312" w:lineRule="auto"/>
        <w:rPr>
          <w:sz w:val="20"/>
          <w:szCs w:val="20"/>
          <w:color w:val="auto"/>
        </w:rPr>
      </w:pPr>
      <w:r>
        <w:rPr>
          <w:rFonts w:ascii="Times New Roman" w:cs="Times New Roman" w:eastAsia="Times New Roman" w:hAnsi="Times New Roman"/>
          <w:sz w:val="17"/>
          <w:szCs w:val="17"/>
          <w:color w:val="auto"/>
        </w:rPr>
        <w:t>Kristin Cunningham on behalf of Debtor Sangamo Therapeutics, Inc. cunningham@rlf.com, rbgroup@rlf.com;rebecca--speaker-6328@ecf.pacerpro.com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DeFranceschi on behalf of Debtor 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defranceschi@rlf.com, RBGroup@rlf.com;ann-jerominski-2390@ecf.pacerpro.com;rebecca--speaker-6328@ecf.pacerpro.com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Dehney on behalf of Interested Party Eli Lilly and Company</w:t>
      </w:r>
    </w:p>
    <w:p>
      <w:pPr>
        <w:spacing w:after="0" w:line="27" w:lineRule="exact"/>
        <w:rPr>
          <w:sz w:val="20"/>
          <w:szCs w:val="20"/>
          <w:color w:val="auto"/>
        </w:rPr>
      </w:pPr>
    </w:p>
    <w:p>
      <w:pPr>
        <w:ind w:right="2320"/>
        <w:spacing w:after="0" w:line="260" w:lineRule="auto"/>
        <w:rPr>
          <w:sz w:val="20"/>
          <w:szCs w:val="20"/>
          <w:color w:val="auto"/>
        </w:rPr>
      </w:pPr>
      <w:r>
        <w:rPr>
          <w:rFonts w:ascii="Times New Roman" w:cs="Times New Roman" w:eastAsia="Times New Roman" w:hAnsi="Times New Roman"/>
          <w:sz w:val="18"/>
          <w:szCs w:val="18"/>
          <w:color w:val="auto"/>
        </w:rPr>
        <w:t>rdehney@morrisnichols.com, robert-dehney-4464@ecf.pacerpro.com;jlawrence@morrisnichols.com;john-lawrence-0804@ecf.pacerpro.com;rchevli@morrisnichols.com;radha--chevli--2257@ecf.pacerpro.com</w:t>
      </w:r>
    </w:p>
    <w:p>
      <w:pPr>
        <w:spacing w:after="0" w:line="73" w:lineRule="exact"/>
        <w:rPr>
          <w:sz w:val="20"/>
          <w:szCs w:val="20"/>
          <w:color w:val="auto"/>
        </w:rPr>
      </w:pPr>
    </w:p>
    <w:p>
      <w:pPr>
        <w:ind w:right="4440"/>
        <w:spacing w:after="0" w:line="312" w:lineRule="auto"/>
        <w:rPr>
          <w:sz w:val="20"/>
          <w:szCs w:val="20"/>
          <w:color w:val="auto"/>
        </w:rPr>
      </w:pPr>
      <w:r>
        <w:rPr>
          <w:rFonts w:ascii="Times New Roman" w:cs="Times New Roman" w:eastAsia="Times New Roman" w:hAnsi="Times New Roman"/>
          <w:sz w:val="17"/>
          <w:szCs w:val="17"/>
          <w:color w:val="auto"/>
        </w:rPr>
        <w:t>Brenna Anne Dolphin on behalf of Interested Party Eli Lilly and Company bdolphin@morrisnichols.com, brenna-dolphin-9491@ecf.pacerpro.com;john-lawrence-</w:t>
      </w:r>
    </w:p>
    <w:p>
      <w:pPr>
        <w:sectPr>
          <w:pgSz w:w="11900" w:h="16908" w:orient="portrait"/>
          <w:cols w:equalWidth="0" w:num="1">
            <w:col w:w="10740"/>
          </w:cols>
          <w:pgMar w:left="440" w:top="266" w:right="719" w:bottom="0" w:gutter="0" w:footer="0" w:header="0"/>
          <w:type w:val="continuous"/>
        </w:sectPr>
      </w:pPr>
    </w:p>
    <w:bookmarkStart w:id="60" w:name="page61"/>
    <w:bookmarkEnd w:id="60"/>
    <w:p>
      <w:pPr>
        <w:ind w:right="1019"/>
        <w:spacing w:after="0" w:line="407" w:lineRule="auto"/>
        <w:rPr>
          <w:sz w:val="20"/>
          <w:szCs w:val="20"/>
          <w:color w:val="auto"/>
        </w:rPr>
      </w:pPr>
      <w:r>
        <w:rPr>
          <w:rFonts w:ascii="Times New Roman" w:cs="Times New Roman" w:eastAsia="Times New Roman" w:hAnsi="Times New Roman"/>
          <w:sz w:val="18"/>
          <w:szCs w:val="18"/>
          <w:color w:val="auto"/>
        </w:rPr>
        <w:t>0804@ecf.pacerpro.com;jlawrence@morrisnichols.com;rchevli@morrisnichols.com;radha--chevli--2257@ecf.pacerpro.com Andrew C. Ehrmann on behalf of Interested Party Northridge ATM, LLC</w:t>
      </w:r>
    </w:p>
    <w:p>
      <w:pPr>
        <w:sectPr>
          <w:pgSz w:w="11900" w:h="16838" w:orient="portrait"/>
          <w:cols w:equalWidth="0" w:num="1">
            <w:col w:w="10019"/>
          </w:cols>
          <w:pgMar w:left="440" w:top="121" w:right="1440" w:bottom="1440" w:gutter="0" w:footer="0" w:header="0"/>
        </w:sectPr>
      </w:pPr>
    </w:p>
    <w:bookmarkStart w:id="61" w:name="page62"/>
    <w:bookmarkEnd w:id="61"/>
    <w:tbl>
      <w:tblPr>
        <w:tblLayout w:type="fixed"/>
        <w:tblInd w:w="4"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UNITED STATES BANKRUPTCY COURT</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DISTRICT OF DELAWARE</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Re. SANGAMO THERAPEUTICS, INC.</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Case No. 26-10989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66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Debtor(s)</w:t>
            </w: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4"/>
            <w:vMerge w:val="restart"/>
          </w:tcPr>
          <w:p>
            <w:pPr>
              <w:ind w:left="2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Jointly Administered</w:t>
            </w: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Monthly Operating Report</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30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Period Ended: 09/30/2026</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Petition Date:</w:t>
            </w:r>
          </w:p>
        </w:tc>
        <w:tc>
          <w:tcPr>
            <w:tcW w:w="2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xml:space="preserve">06/23/2026             </w:t>
            </w: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Pending: 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Industry Classification: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Method:</w:t>
            </w: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Accrual Basis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3"/>
            <w:vMerge w:val="restart"/>
          </w:tcPr>
          <w:p>
            <w:pPr>
              <w:ind w:left="2260"/>
              <w:spacing w:after="0"/>
              <w:rPr>
                <w:sz w:val="20"/>
                <w:szCs w:val="20"/>
                <w:color w:val="auto"/>
              </w:rPr>
            </w:pPr>
            <w:r>
              <w:rPr>
                <w:rFonts w:ascii="Times New Roman" w:cs="Times New Roman" w:eastAsia="Times New Roman" w:hAnsi="Times New Roman"/>
                <w:sz w:val="18"/>
                <w:szCs w:val="18"/>
                <w:color w:val="auto"/>
              </w:rPr>
              <w:t>Cash Basis</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Debtor’s Full-Time Employees (current):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88"/>
              </w:rPr>
              <w:t>13</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Debtor’s Full-Time Employees (as of date of order for relief):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88"/>
              </w:rPr>
              <w:t>74</w:t>
            </w:r>
          </w:p>
        </w:tc>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-899795</wp:posOffset>
            </wp:positionV>
            <wp:extent cx="1036955" cy="197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36955" cy="19748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-599440</wp:posOffset>
            </wp:positionV>
            <wp:extent cx="154305"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-599440</wp:posOffset>
            </wp:positionV>
            <wp:extent cx="14605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Supporting Documentation </w:t>
      </w:r>
      <w:r>
        <w:rPr>
          <w:rFonts w:ascii="Times New Roman" w:cs="Times New Roman" w:eastAsia="Times New Roman" w:hAnsi="Times New Roman"/>
          <w:sz w:val="18"/>
          <w:szCs w:val="18"/>
          <w:color w:val="auto"/>
        </w:rPr>
        <w:t>(check all that are attached):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jointly administered debtors, any required schedules must be provided on a non-consolidated basis for each debtor)</w:t>
      </w:r>
    </w:p>
    <w:p>
      <w:pPr>
        <w:spacing w:after="0" w:line="131" w:lineRule="exact"/>
        <w:rPr>
          <w:sz w:val="20"/>
          <w:szCs w:val="20"/>
          <w:color w:val="auto"/>
        </w:rPr>
      </w:pPr>
    </w:p>
    <w:p>
      <w:pPr>
        <w:ind w:left="424" w:hanging="424"/>
        <w:spacing w:after="0"/>
        <w:tabs>
          <w:tab w:leader="none" w:pos="424"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cash receipts and disbursements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 sheet containing the summary and detail of the assets, liabilities and equity (net worth) or deficit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operations (profit or loss statement)</w:t>
      </w:r>
    </w:p>
    <w:p>
      <w:pPr>
        <w:spacing w:after="0" w:line="131" w:lineRule="exact"/>
        <w:rPr>
          <w:sz w:val="20"/>
          <w:szCs w:val="20"/>
          <w:color w:val="auto"/>
        </w:rPr>
      </w:pPr>
    </w:p>
    <w:p>
      <w:pPr>
        <w:ind w:left="424" w:hanging="424"/>
        <w:spacing w:after="0"/>
        <w:tabs>
          <w:tab w:leader="none" w:pos="42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Accounts receivable aging</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Postpetition liabilities aging</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Statement of capital assets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Schedule of payments to professionals</w:t>
      </w:r>
    </w:p>
    <w:p>
      <w:pPr>
        <w:spacing w:after="0" w:line="131" w:lineRule="exact"/>
        <w:rPr>
          <w:sz w:val="20"/>
          <w:szCs w:val="20"/>
          <w:color w:val="auto"/>
        </w:rPr>
      </w:pPr>
    </w:p>
    <w:p>
      <w:pPr>
        <w:ind w:left="424" w:hanging="424"/>
        <w:spacing w:after="0"/>
        <w:tabs>
          <w:tab w:leader="none" w:pos="424"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Schedule of payments to insiders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bank statements and bank reconciliations for the reporting period</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Description of the assets sold or transferred and the terms of the sale or transfer</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230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42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10/23/2026</w:t>
            </w:r>
          </w:p>
        </w:tc>
        <w:tc>
          <w:tcPr>
            <w:tcW w:w="23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9"/>
        </w:trPr>
        <w:tc>
          <w:tcPr>
            <w:tcW w:w="4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501 Canal Blvd., Suite A100 Richmond, CA 94804</w:t>
            </w:r>
          </w:p>
        </w:tc>
      </w:tr>
      <w:tr>
        <w:trPr>
          <w:trHeight w:val="228"/>
        </w:trPr>
        <w:tc>
          <w:tcPr>
            <w:tcW w:w="4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r>
    </w:tbl>
    <w:p>
      <w:pPr>
        <w:spacing w:after="0" w:line="22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STATEMENT: This Periodic Report is associated with an open bankruptcy case; therefore, Paperwork Reduction Act exemption 5 C.F.R. §1320.4(a)(2) applies.</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Docket No. 536</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376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10/23/26</w:t>
            </w:r>
          </w:p>
        </w:tc>
      </w:tr>
    </w:tbl>
    <w:p>
      <w:pPr>
        <w:sectPr>
          <w:pgSz w:w="11900" w:h="16838" w:orient="portrait"/>
          <w:cols w:equalWidth="0" w:num="1">
            <w:col w:w="11024"/>
          </w:cols>
          <w:pgMar w:left="436" w:top="117" w:right="4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317"/>
        </w:trPr>
        <w:tc>
          <w:tcPr>
            <w:tcW w:w="2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Part 1: Cash Receipts and Disbursements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3060" w:type="dxa"/>
            <w:vAlign w:val="bottom"/>
            <w:tcBorders>
              <w:top w:val="single" w:sz="8" w:color="CCEEFF"/>
            </w:tcBorders>
            <w:gridSpan w:val="4"/>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Cash balance beginning of month</w:t>
            </w:r>
          </w:p>
        </w:tc>
        <w:tc>
          <w:tcPr>
            <w:tcW w:w="7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23,225,696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Total receipts (net of transfers between accounts)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161,393,899</w:t>
            </w: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200,101,393</w:t>
            </w:r>
          </w:p>
        </w:tc>
      </w:tr>
      <w:tr>
        <w:trPr>
          <w:trHeight w:val="27"/>
        </w:trPr>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disbursements (net of transfers between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46,165,309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66,504,211</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balance end of month (a+b-c)</w:t>
            </w: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138,454,286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Disbursements made by third party for the benefit of the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Total disbursements for quarterly fee calculation (c+e)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46,165,309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66,504,211</w:t>
            </w:r>
          </w:p>
        </w:tc>
        <w:tc>
          <w:tcPr>
            <w:tcW w:w="220" w:type="dxa"/>
            <w:vAlign w:val="bottom"/>
          </w:tcPr>
          <w:p>
            <w:pPr>
              <w:spacing w:after="0"/>
              <w:rPr>
                <w:sz w:val="19"/>
                <w:szCs w:val="19"/>
                <w:color w:val="auto"/>
              </w:rPr>
            </w:pPr>
          </w:p>
        </w:tc>
      </w:tr>
      <w:tr>
        <w:trPr>
          <w:trHeight w:val="347"/>
        </w:trPr>
        <w:tc>
          <w:tcPr>
            <w:tcW w:w="2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Part 2: Asset and Liability Status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3"/>
        </w:trPr>
        <w:tc>
          <w:tcPr>
            <w:tcW w:w="4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(Not generally applicable to Individual Debtors. See Instructions.)</w:t>
            </w:r>
          </w:p>
        </w:tc>
        <w:tc>
          <w:tcPr>
            <w:tcW w:w="43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6"/>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Accounts receivable (total net of allowance)</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90,355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Accounts receivable over 90 days outstanding (net of allowance)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Book</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Market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120" w:type="dxa"/>
            <w:vAlign w:val="bottom"/>
            <w:gridSpan w:val="2"/>
            <w:shd w:val="clear" w:color="auto" w:fill="CCEEFF"/>
          </w:tcPr>
          <w:p>
            <w:pPr>
              <w:jc w:val="right"/>
              <w:ind w:right="3560"/>
              <w:spacing w:after="0"/>
              <w:rPr>
                <w:sz w:val="20"/>
                <w:szCs w:val="20"/>
                <w:color w:val="auto"/>
              </w:rPr>
            </w:pPr>
            <w:r>
              <w:rPr>
                <w:rFonts w:ascii="Times New Roman" w:cs="Times New Roman" w:eastAsia="Times New Roman" w:hAnsi="Times New Roman"/>
                <w:sz w:val="18"/>
                <w:szCs w:val="18"/>
                <w:color w:val="auto"/>
              </w:rPr>
              <w:t>(attach explanation))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141,885,264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264,234,115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Postpetition payables (excluding taxes)</w:t>
            </w: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21,177,667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8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Postpetition payables past due (excluding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Postpetition taxes payable</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Postpetition taxes past due</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postpetition debt (f+h)</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21,249,896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secured debt</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l.</w:t>
            </w: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Prepetition priority debt</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t>
            </w:r>
          </w:p>
        </w:tc>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Prepetition unsecured debt</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61,623,747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n.</w:t>
            </w:r>
          </w:p>
        </w:tc>
        <w:tc>
          <w:tcPr>
            <w:tcW w:w="3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liabilities (debt) (j+k+l+m)</w:t>
            </w: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82,906,186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t>
            </w:r>
          </w:p>
        </w:tc>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equity/net worth (e-n)</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181,327,929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91"/>
        </w:trPr>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Part 3: Assets Sold or Transferred</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6"/>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cash sales price for assets sold/transferred outside the ordinary course of business</w:t>
            </w:r>
          </w:p>
        </w:tc>
        <w:tc>
          <w:tcPr>
            <w:tcW w:w="10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161,000,000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163,300,000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Total payments to third parties incident to assets being sold/transferred outside the ordinary course of business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32,171,714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32,171,714</w:t>
            </w: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proceeds from assets sold/transferred outside the ordinary course of business (a-b)</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128,828,286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131,128,286</w:t>
            </w:r>
          </w:p>
        </w:tc>
      </w:tr>
      <w:tr>
        <w:trPr>
          <w:trHeight w:val="347"/>
        </w:trPr>
        <w:tc>
          <w:tcPr>
            <w:tcW w:w="3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4: Income Statement (Statement of Operations)</w:t>
            </w: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3"/>
        </w:trPr>
        <w:tc>
          <w:tcPr>
            <w:tcW w:w="4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(Not generally applicable to Individual Debtors. See Instructions.)</w:t>
            </w:r>
          </w:p>
        </w:tc>
        <w:tc>
          <w:tcPr>
            <w:tcW w:w="43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top w:val="single" w:sz="8" w:color="CCEEFF"/>
            </w:tcBorders>
            <w:gridSpan w:val="6"/>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Gross income/sales (net of returns and allowances)</w:t>
            </w:r>
          </w:p>
        </w:tc>
        <w:tc>
          <w:tcPr>
            <w:tcW w:w="10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161,062,325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Cost of goods sold (inclusive of depreciation, if applicable)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(a-b)</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161,062,325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expenses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3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2,655,227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8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and/or amortization (not included in 4b)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Taxes (local, state, and federal)</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Reorganization items</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(loss)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143,792,625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114,423,239</w:t>
            </w:r>
          </w:p>
        </w:tc>
      </w:tr>
      <w:tr>
        <w:trPr>
          <w:trHeight w:val="372"/>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760" w:type="dxa"/>
            <w:vAlign w:val="bottom"/>
          </w:tcPr>
          <w:p>
            <w:pPr>
              <w:spacing w:after="0"/>
              <w:rPr>
                <w:sz w:val="24"/>
                <w:szCs w:val="24"/>
                <w:color w:val="auto"/>
              </w:rPr>
            </w:pPr>
          </w:p>
        </w:tc>
        <w:tc>
          <w:tcPr>
            <w:tcW w:w="512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-5039995</wp:posOffset>
            </wp:positionV>
            <wp:extent cx="145415"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-5039995</wp:posOffset>
            </wp:positionV>
            <wp:extent cx="14605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-5039995</wp:posOffset>
            </wp:positionV>
            <wp:extent cx="154305"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c>
          <w:tcPr>
            <w:tcW w:w="0" w:type="dxa"/>
            <w:vAlign w:val="bottom"/>
          </w:tcPr>
          <w:p>
            <w:pPr>
              <w:spacing w:after="0"/>
              <w:rPr>
                <w:sz w:val="1"/>
                <w:szCs w:val="1"/>
                <w:color w:val="auto"/>
              </w:rPr>
            </w:pPr>
          </w:p>
        </w:tc>
      </w:tr>
      <w:tr>
        <w:trPr>
          <w:trHeight w:val="148"/>
        </w:trPr>
        <w:tc>
          <w:tcPr>
            <w:tcW w:w="538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Borders>
              <w:left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Part 5: Professional Fees and Expenses</w:t>
            </w: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 w:type="dxa"/>
            <w:vAlign w:val="bottom"/>
            <w:tcBorders>
              <w:left w:val="single" w:sz="8" w:color="auto"/>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860" w:type="dxa"/>
            <w:vAlign w:val="bottom"/>
            <w:tcBorders>
              <w:right w:val="single" w:sz="8" w:color="auto"/>
            </w:tcBorders>
          </w:tcPr>
          <w:p>
            <w:pPr>
              <w:jc w:val="right"/>
              <w:ind w:right="18"/>
              <w:spacing w:after="0" w:line="119" w:lineRule="exact"/>
              <w:rPr>
                <w:sz w:val="20"/>
                <w:szCs w:val="20"/>
                <w:color w:val="auto"/>
              </w:rPr>
            </w:pPr>
            <w:r>
              <w:rPr>
                <w:rFonts w:ascii="Times New Roman" w:cs="Times New Roman" w:eastAsia="Times New Roman" w:hAnsi="Times New Roman"/>
                <w:sz w:val="13"/>
                <w:szCs w:val="13"/>
                <w:color w:val="auto"/>
              </w:rPr>
              <w:t>Approved</w:t>
            </w:r>
          </w:p>
        </w:tc>
        <w:tc>
          <w:tcPr>
            <w:tcW w:w="92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Paid Current</w:t>
            </w:r>
          </w:p>
        </w:tc>
        <w:tc>
          <w:tcPr>
            <w:tcW w:w="920" w:type="dxa"/>
            <w:vAlign w:val="bottom"/>
            <w:tcBorders>
              <w:right w:val="single" w:sz="8" w:color="auto"/>
            </w:tcBorders>
          </w:tcPr>
          <w:p>
            <w:pPr>
              <w:jc w:val="right"/>
              <w:ind w:right="258"/>
              <w:spacing w:after="0" w:line="119" w:lineRule="exact"/>
              <w:rPr>
                <w:sz w:val="20"/>
                <w:szCs w:val="20"/>
                <w:color w:val="auto"/>
              </w:rPr>
            </w:pPr>
            <w:r>
              <w:rPr>
                <w:rFonts w:ascii="Times New Roman" w:cs="Times New Roman" w:eastAsia="Times New Roman" w:hAnsi="Times New Roman"/>
                <w:sz w:val="13"/>
                <w:szCs w:val="13"/>
                <w:color w:val="auto"/>
              </w:rPr>
              <w:t>Paid</w:t>
            </w:r>
          </w:p>
        </w:tc>
        <w:tc>
          <w:tcPr>
            <w:tcW w:w="0" w:type="dxa"/>
            <w:vAlign w:val="bottom"/>
          </w:tcPr>
          <w:p>
            <w:pPr>
              <w:spacing w:after="0"/>
              <w:rPr>
                <w:sz w:val="1"/>
                <w:szCs w:val="1"/>
                <w:color w:val="auto"/>
              </w:rPr>
            </w:pPr>
          </w:p>
        </w:tc>
      </w:tr>
      <w:tr>
        <w:trPr>
          <w:trHeight w:val="171"/>
        </w:trPr>
        <w:tc>
          <w:tcPr>
            <w:tcW w:w="3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w w:val="86"/>
              </w:rPr>
              <w:t>a. </w:t>
            </w:r>
          </w:p>
        </w:tc>
        <w:tc>
          <w:tcPr>
            <w:tcW w:w="8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Current Month</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Cumulative</w:t>
            </w:r>
          </w:p>
        </w:tc>
        <w:tc>
          <w:tcPr>
            <w:tcW w:w="9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Month</w:t>
            </w:r>
          </w:p>
        </w:tc>
        <w:tc>
          <w:tcPr>
            <w:tcW w:w="9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Cumulative</w:t>
            </w: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vMerge w:val="continue"/>
          </w:tcPr>
          <w:p>
            <w:pPr>
              <w:spacing w:after="0"/>
              <w:rPr>
                <w:sz w:val="18"/>
                <w:szCs w:val="18"/>
                <w:color w:val="auto"/>
              </w:rPr>
            </w:pP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 xml:space="preserve">Debtor’s professional fees &amp; expenses (bankruptcy) </w:t>
            </w:r>
            <w:r>
              <w:rPr>
                <w:rFonts w:ascii="Times New Roman" w:cs="Times New Roman" w:eastAsia="Times New Roman" w:hAnsi="Times New Roman"/>
                <w:sz w:val="18"/>
                <w:szCs w:val="18"/>
                <w:i w:val="1"/>
                <w:iCs w:val="1"/>
                <w:color w:val="auto"/>
                <w:w w:val="99"/>
              </w:rPr>
              <w:t>Aggregate Total</w:t>
            </w: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$419,718</w:t>
            </w:r>
          </w:p>
        </w:tc>
        <w:tc>
          <w:tcPr>
            <w:tcW w:w="86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$935,117</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$419,718</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$935,117</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Firm Name</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Role</w:t>
            </w: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Raymond James</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Professional</w:t>
            </w:r>
          </w:p>
        </w:tc>
        <w:tc>
          <w:tcPr>
            <w:tcW w:w="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$75,000</w:t>
            </w:r>
          </w:p>
        </w:tc>
        <w:tc>
          <w:tcPr>
            <w:tcW w:w="8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Verita</w:t>
            </w: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$344,718</w:t>
            </w:r>
          </w:p>
        </w:tc>
        <w:tc>
          <w:tcPr>
            <w:tcW w:w="86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$685,117</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$344,718</w:t>
            </w:r>
          </w:p>
        </w:tc>
        <w:tc>
          <w:tcPr>
            <w:tcW w:w="9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$685,117</w:t>
            </w: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xxviii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xxix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xxxiii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xxxiv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xxxv</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xxxvi</w:t>
            </w:r>
          </w:p>
        </w:tc>
        <w:tc>
          <w:tcPr>
            <w:tcW w:w="4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98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4" w:name="page65"/>
    <w:bookmarkEnd w:id="64"/>
    <w:tbl>
      <w:tblPr>
        <w:tblLayout w:type="fixed"/>
        <w:tblInd w:w="1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Case No. 26-10989</w:t>
            </w:r>
          </w:p>
        </w:tc>
      </w:tr>
      <w:tr>
        <w:trPr>
          <w:trHeight w:val="364"/>
        </w:trPr>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304"/>
        </w:trPr>
        <w:tc>
          <w:tcPr>
            <w:tcW w:w="240" w:type="dxa"/>
            <w:vAlign w:val="bottom"/>
            <w:tcBorders>
              <w:left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xxxvii</w:t>
            </w:r>
          </w:p>
        </w:tc>
        <w:tc>
          <w:tcPr>
            <w:tcW w:w="342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xxxviii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xxxix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xliv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xlvi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xlvii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xlviii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xlix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lvi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lvii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lviii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lxiv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lxvi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lxvii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lxviii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lxix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lxxiv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lxxv</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lxxvi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240" w:type="dxa"/>
            <w:vAlign w:val="bottom"/>
            <w:tcBorders>
              <w:left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lxxvii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24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lxxviii</w:t>
            </w:r>
          </w:p>
        </w:tc>
        <w:tc>
          <w:tcPr>
            <w:tcW w:w="3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35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 w:name="page66"/>
    <w:bookmarkEnd w:id="65"/>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33604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3415" cy="336042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lxxxix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xciv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xcv</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xcvi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xcvii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xcviii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xcix</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ci</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360" w:type="dxa"/>
            <w:vAlign w:val="bottom"/>
            <w:tcBorders>
              <w:top w:val="single" w:sz="8" w:color="auto"/>
              <w:left w:val="single" w:sz="8" w:color="auto"/>
              <w:right w:val="single" w:sz="8" w:color="auto"/>
            </w:tcBorders>
          </w:tcPr>
          <w:p>
            <w:pPr>
              <w:ind w:left="180"/>
              <w:spacing w:after="0" w:line="139" w:lineRule="exact"/>
              <w:rPr>
                <w:sz w:val="20"/>
                <w:szCs w:val="20"/>
                <w:color w:val="auto"/>
              </w:rPr>
            </w:pPr>
            <w:r>
              <w:rPr>
                <w:rFonts w:ascii="Times New Roman" w:cs="Times New Roman" w:eastAsia="Times New Roman" w:hAnsi="Times New Roman"/>
                <w:sz w:val="14"/>
                <w:szCs w:val="14"/>
                <w:color w:val="auto"/>
                <w:w w:val="99"/>
              </w:rPr>
              <w:t> </w:t>
            </w:r>
          </w:p>
        </w:tc>
        <w:tc>
          <w:tcPr>
            <w:tcW w:w="8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color w:val="auto"/>
              </w:rPr>
              <w:t>Approved</w:t>
            </w:r>
          </w:p>
        </w:tc>
        <w:tc>
          <w:tcPr>
            <w:tcW w:w="780" w:type="dxa"/>
            <w:vAlign w:val="bottom"/>
            <w:tcBorders>
              <w:top w:val="single" w:sz="8" w:color="auto"/>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Approved</w:t>
            </w:r>
          </w:p>
        </w:tc>
        <w:tc>
          <w:tcPr>
            <w:tcW w:w="840" w:type="dxa"/>
            <w:vAlign w:val="bottom"/>
            <w:tcBorders>
              <w:top w:val="single" w:sz="8" w:color="auto"/>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Paid Current</w:t>
            </w:r>
          </w:p>
        </w:tc>
        <w:tc>
          <w:tcPr>
            <w:tcW w:w="840" w:type="dxa"/>
            <w:vAlign w:val="bottom"/>
            <w:tcBorders>
              <w:top w:val="single" w:sz="8" w:color="auto"/>
              <w:right w:val="single" w:sz="8" w:color="auto"/>
            </w:tcBorders>
          </w:tcPr>
          <w:p>
            <w:pPr>
              <w:jc w:val="right"/>
              <w:ind w:right="194"/>
              <w:spacing w:after="0" w:line="139" w:lineRule="exact"/>
              <w:rPr>
                <w:sz w:val="20"/>
                <w:szCs w:val="20"/>
                <w:color w:val="auto"/>
              </w:rPr>
            </w:pPr>
            <w:r>
              <w:rPr>
                <w:rFonts w:ascii="Times New Roman" w:cs="Times New Roman" w:eastAsia="Times New Roman" w:hAnsi="Times New Roman"/>
                <w:sz w:val="14"/>
                <w:szCs w:val="14"/>
                <w:color w:val="auto"/>
              </w:rPr>
              <w:t>Paid</w:t>
            </w:r>
          </w:p>
        </w:tc>
      </w:tr>
      <w:tr>
        <w:trPr>
          <w:trHeight w:val="171"/>
        </w:trPr>
        <w:tc>
          <w:tcPr>
            <w:tcW w:w="3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99"/>
              </w:rPr>
              <w:t> </w:t>
            </w:r>
          </w:p>
        </w:tc>
        <w:tc>
          <w:tcPr>
            <w:tcW w:w="8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Current Month</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Cumulative</w:t>
            </w:r>
          </w:p>
        </w:tc>
        <w:tc>
          <w:tcPr>
            <w:tcW w:w="840" w:type="dxa"/>
            <w:vAlign w:val="bottom"/>
            <w:tcBorders>
              <w:bottom w:val="single" w:sz="8" w:color="auto"/>
              <w:right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Month</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Cumulative</w:t>
            </w:r>
          </w:p>
        </w:tc>
      </w:tr>
      <w:tr>
        <w:trPr>
          <w:trHeight w:val="209"/>
        </w:trPr>
        <w:tc>
          <w:tcPr>
            <w:tcW w:w="3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3"/>
              </w:rPr>
              <w:t>b. </w:t>
            </w:r>
          </w:p>
        </w:tc>
        <w:tc>
          <w:tcPr>
            <w:tcW w:w="5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Debtor’s professional fees &amp; expenses (nonbankruptcy) </w:t>
            </w:r>
            <w:r>
              <w:rPr>
                <w:rFonts w:ascii="Times New Roman" w:cs="Times New Roman" w:eastAsia="Times New Roman" w:hAnsi="Times New Roman"/>
                <w:sz w:val="18"/>
                <w:szCs w:val="18"/>
                <w:i w:val="1"/>
                <w:iCs w:val="1"/>
                <w:color w:val="auto"/>
              </w:rPr>
              <w:t>Aggregate Total</w:t>
            </w: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$75,228</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4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Itemized Breakdown by Firm</w:t>
            </w:r>
          </w:p>
        </w:tc>
        <w:tc>
          <w:tcPr>
            <w:tcW w:w="122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Firm Name</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Role</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Rothwell, Figg, Ernst &amp; Manbec</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Daijogo &amp; Pedersen, LLP</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818</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765</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818</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Kilpatrick Townsend &amp; Stockto</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2,600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2,600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2,442</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2,600</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Snell &amp; Wilmer L.L.P.</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$33,144</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Foley &amp; Lardner LLP</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w:t>
            </w: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Leason Ellis LLP</w:t>
            </w: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Counsel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2,192</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2,192</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2,192</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2,192</w:t>
            </w: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viii</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ix</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xiii</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36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xiv</w:t>
            </w:r>
          </w:p>
        </w:tc>
        <w:tc>
          <w:tcPr>
            <w:tcW w:w="33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35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6" w:name="page67"/>
    <w:bookmarkEnd w:id="66"/>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171" w:lineRule="exact"/>
        <w:rPr>
          <w:sz w:val="20"/>
          <w:szCs w:val="20"/>
          <w:color w:val="auto"/>
        </w:rPr>
      </w:pPr>
    </w:p>
    <w:p>
      <w:pPr>
        <w:ind w:left="380" w:right="10120" w:hanging="227"/>
        <w:spacing w:after="0" w:line="328" w:lineRule="auto"/>
        <w:tabs>
          <w:tab w:leader="none" w:pos="23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xv xvi xvii xviii xix xx xxi xxii xxiii xxiv xxv xxvi xxvii xxviii xxix xxx xxxi xxxii xxxiii xxxiv xxxv xxxvi xxxvii xxxviii xxxix xl</w:t>
      </w:r>
    </w:p>
    <w:p>
      <w:pPr>
        <w:spacing w:after="0" w:line="188" w:lineRule="exact"/>
        <w:rPr>
          <w:rFonts w:ascii="Times New Roman" w:cs="Times New Roman" w:eastAsia="Times New Roman" w:hAnsi="Times New Roman"/>
          <w:sz w:val="16"/>
          <w:szCs w:val="16"/>
          <w:color w:val="auto"/>
        </w:rPr>
      </w:pPr>
    </w:p>
    <w:p>
      <w:pPr>
        <w:ind w:left="380" w:right="10260"/>
        <w:spacing w:after="0" w:line="31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xli xlii xliii xliv xlv xlvi xlvii xlviii xlix l</w:t>
      </w:r>
    </w:p>
    <w:p>
      <w:pPr>
        <w:jc w:val="both"/>
        <w:ind w:left="380" w:right="104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li lii liii liv lv lvi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-6145530</wp:posOffset>
            </wp:positionV>
            <wp:extent cx="7003415" cy="6129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03415" cy="612902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270"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Case No. 26-10989</w:t>
            </w:r>
          </w:p>
        </w:tc>
      </w:tr>
      <w:tr>
        <w:trPr>
          <w:trHeight w:val="148"/>
        </w:trPr>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09"/>
        </w:trPr>
        <w:tc>
          <w:tcPr>
            <w:tcW w:w="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lvii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lviii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lxviii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lxix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lxxviii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lxxix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lxxxviii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lxxxix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xcviii</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300" w:type="dxa"/>
            <w:vAlign w:val="bottom"/>
            <w:tcBorders>
              <w:left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xcix</w:t>
            </w:r>
          </w:p>
        </w:tc>
        <w:tc>
          <w:tcPr>
            <w:tcW w:w="38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304"/>
        </w:trPr>
        <w:tc>
          <w:tcPr>
            <w:tcW w:w="300" w:type="dxa"/>
            <w:vAlign w:val="bottom"/>
            <w:tcBorders>
              <w:left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88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504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c.     All professional fees and expenses (debtor &amp; committees)</w:t>
            </w: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$1,291,252</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$1,806,651</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$1,120,363</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$1,647,960</w:t>
            </w:r>
          </w:p>
        </w:tc>
      </w:tr>
      <w:tr>
        <w:trPr>
          <w:trHeight w:val="35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160" w:type="dxa"/>
            <w:vAlign w:val="bottom"/>
          </w:tcPr>
          <w:p>
            <w:pPr>
              <w:spacing w:after="0"/>
              <w:rPr>
                <w:sz w:val="20"/>
                <w:szCs w:val="20"/>
                <w:color w:val="auto"/>
              </w:rPr>
            </w:pPr>
          </w:p>
        </w:tc>
        <w:tc>
          <w:tcPr>
            <w:tcW w:w="20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w w:val="98"/>
              </w:rPr>
              <w:t>Case No. 26-10989</w:t>
            </w:r>
          </w:p>
        </w:tc>
      </w:tr>
      <w:tr>
        <w:trPr>
          <w:trHeight w:val="317"/>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Part 6: Postpetition Taxes</w:t>
            </w:r>
          </w:p>
        </w:tc>
        <w:tc>
          <w:tcPr>
            <w:tcW w:w="72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Month</w:t>
            </w:r>
          </w:p>
        </w:tc>
        <w:tc>
          <w:tcPr>
            <w:tcW w:w="20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203"/>
        </w:trPr>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8580" w:type="dxa"/>
            <w:vAlign w:val="bottom"/>
            <w:tcBorders>
              <w:top w:val="single" w:sz="8" w:color="CCEEFF"/>
            </w:tcBorders>
            <w:gridSpan w:val="2"/>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 Postpetition income taxes accrued (local, state, and federal)</w:t>
            </w: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income taxes paid (local, state, and federal)</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8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 Postpetition employer payroll taxes accrued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565,817</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Postpetition employer payroll taxes paid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2,378,080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3,255,413</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8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 Postpetition property taxes paid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361,948</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Postpetition other taxes accrued (local, state, and federal)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220,056</w:t>
            </w: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Postpetition other taxes paid (local, state, and federal)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Part 7: Questionnaire - During this reporting period:</w:t>
      </w:r>
    </w:p>
    <w:p>
      <w:pPr>
        <w:sectPr>
          <w:pgSz w:w="11900" w:h="16838" w:orient="portrait"/>
          <w:cols w:equalWidth="0" w:num="1">
            <w:col w:w="11020"/>
          </w:cols>
          <w:pgMar w:left="440" w:top="270" w:right="439" w:bottom="1440" w:gutter="0" w:footer="0" w:header="0"/>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5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 Were any payments made on prepetition debt? (if yes, see Instructions)</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Were any payments made outside the ordinary course of business without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4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approval? (if yes, see Instructions)</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 Were any payments made to or on behalf of insiders?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Are you current on postpetition tax return filings?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4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 Are you current on postpetition estimated tax payments?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Were all trust fund taxes remitted on a current basis?</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Was there any postpetition borrowing, other than trade credit? (if yes, see</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Instructions)</w:t>
            </w: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5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Were all payments made to or on behalf of professionals approved by the court?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Do you have:  </w:t>
            </w:r>
          </w:p>
        </w:tc>
        <w:tc>
          <w:tcPr>
            <w:tcW w:w="3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Worker’s compensation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1280" w:type="dxa"/>
            <w:vAlign w:val="bottom"/>
          </w:tcPr>
          <w:p>
            <w:pPr>
              <w:ind w:left="1220"/>
              <w:spacing w:after="0"/>
              <w:rPr>
                <w:sz w:val="20"/>
                <w:szCs w:val="20"/>
                <w:color w:val="auto"/>
              </w:rPr>
            </w:pPr>
            <w:r>
              <w:rPr>
                <w:rFonts w:ascii="Times New Roman" w:cs="Times New Roman" w:eastAsia="Times New Roman" w:hAnsi="Times New Roman"/>
                <w:sz w:val="4"/>
                <w:szCs w:val="4"/>
                <w:color w:val="auto"/>
                <w:w w:val="98"/>
              </w:rPr>
              <w:t> </w:t>
            </w: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Casualty/property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4"/>
                <w:szCs w:val="24"/>
                <w:color w:val="auto"/>
              </w:rPr>
            </w:pPr>
          </w:p>
        </w:tc>
        <w:tc>
          <w:tcPr>
            <w:tcW w:w="48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     General liability insurance?</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yes, are your premiums current?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40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Has a plan of reorganization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Has a disclosure statement been filed with the court?</w:t>
            </w:r>
          </w:p>
        </w:tc>
        <w:tc>
          <w:tcPr>
            <w:tcW w:w="11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33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l. </w:t>
            </w:r>
          </w:p>
        </w:tc>
        <w:tc>
          <w:tcPr>
            <w:tcW w:w="59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Are you current with quarterly U.S. Trustee fees as set forth under 28 U.S.C. §</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0"/>
              </w:rPr>
              <w:t>No</w:t>
            </w:r>
          </w:p>
        </w:tc>
      </w:tr>
      <w:tr>
        <w:trPr>
          <w:trHeight w:val="234"/>
        </w:trPr>
        <w:tc>
          <w:tcPr>
            <w:tcW w:w="2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1930?</w:t>
            </w: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4"/>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-4448810</wp:posOffset>
            </wp:positionV>
            <wp:extent cx="154305"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-4448810</wp:posOffset>
            </wp:positionV>
            <wp:extent cx="14605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-4225925</wp:posOffset>
            </wp:positionV>
            <wp:extent cx="15430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-4225925</wp:posOffset>
            </wp:positionV>
            <wp:extent cx="14605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-3883025</wp:posOffset>
            </wp:positionV>
            <wp:extent cx="15430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-3883025</wp:posOffset>
            </wp:positionV>
            <wp:extent cx="14605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-3660140</wp:posOffset>
            </wp:positionV>
            <wp:extent cx="154305"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-3660140</wp:posOffset>
            </wp:positionV>
            <wp:extent cx="14605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-3437255</wp:posOffset>
            </wp:positionV>
            <wp:extent cx="15430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-3437255</wp:posOffset>
            </wp:positionV>
            <wp:extent cx="14605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-3214370</wp:posOffset>
            </wp:positionV>
            <wp:extent cx="154305"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-3214370</wp:posOffset>
            </wp:positionV>
            <wp:extent cx="14605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-2991485</wp:posOffset>
            </wp:positionV>
            <wp:extent cx="15430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-2991485</wp:posOffset>
            </wp:positionV>
            <wp:extent cx="14605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-2648585</wp:posOffset>
            </wp:positionV>
            <wp:extent cx="15430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-2648585</wp:posOffset>
            </wp:positionV>
            <wp:extent cx="14605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-2391410</wp:posOffset>
            </wp:positionV>
            <wp:extent cx="15430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-2391410</wp:posOffset>
            </wp:positionV>
            <wp:extent cx="14605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-2168525</wp:posOffset>
            </wp:positionV>
            <wp:extent cx="15430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-2168525</wp:posOffset>
            </wp:positionV>
            <wp:extent cx="14605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-1911350</wp:posOffset>
            </wp:positionV>
            <wp:extent cx="15430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-1911350</wp:posOffset>
            </wp:positionV>
            <wp:extent cx="14605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-1688465</wp:posOffset>
            </wp:positionV>
            <wp:extent cx="15430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-1688465</wp:posOffset>
            </wp:positionV>
            <wp:extent cx="14605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-1431290</wp:posOffset>
            </wp:positionV>
            <wp:extent cx="15430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-1431290</wp:posOffset>
            </wp:positionV>
            <wp:extent cx="14605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-1208405</wp:posOffset>
            </wp:positionV>
            <wp:extent cx="15430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-1208405</wp:posOffset>
            </wp:positionV>
            <wp:extent cx="14605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-951230</wp:posOffset>
            </wp:positionV>
            <wp:extent cx="14541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-951230</wp:posOffset>
            </wp:positionV>
            <wp:extent cx="15430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-728345</wp:posOffset>
            </wp:positionV>
            <wp:extent cx="14541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-728345</wp:posOffset>
            </wp:positionV>
            <wp:extent cx="15430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-505460</wp:posOffset>
            </wp:positionV>
            <wp:extent cx="15430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-505460</wp:posOffset>
            </wp:positionV>
            <wp:extent cx="14605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 </w:t>
      </w:r>
      <w:r>
        <w:rPr>
          <w:sz w:val="1"/>
          <w:szCs w:val="1"/>
          <w:color w:val="auto"/>
        </w:rPr>
        <w:drawing>
          <wp:inline distT="0" distB="0" distL="0" distR="0">
            <wp:extent cx="145415" cy="15430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rFonts w:ascii="Times New Roman" w:cs="Times New Roman" w:eastAsia="Times New Roman" w:hAnsi="Times New Roman"/>
          <w:sz w:val="25"/>
          <w:szCs w:val="25"/>
          <w:color w:val="auto"/>
          <w:vertAlign w:val="subscript"/>
        </w:rPr>
        <w:t xml:space="preserve">  </w:t>
      </w:r>
      <w:r>
        <w:rPr>
          <w:sz w:val="1"/>
          <w:szCs w:val="1"/>
          <w:color w:val="auto"/>
        </w:rPr>
        <w:drawing>
          <wp:inline distT="0" distB="0" distL="0" distR="0">
            <wp:extent cx="145415" cy="15430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rFonts w:ascii="Times New Roman" w:cs="Times New Roman" w:eastAsia="Times New Roman" w:hAnsi="Times New Roman"/>
          <w:sz w:val="25"/>
          <w:szCs w:val="25"/>
          <w:color w:val="auto"/>
          <w:vertAlign w:val="subscript"/>
        </w:rPr>
        <w:t xml:space="preserve">  </w:t>
      </w:r>
      <w:r>
        <w:rPr>
          <w:sz w:val="1"/>
          <w:szCs w:val="1"/>
          <w:color w:val="auto"/>
        </w:rPr>
        <w:drawing>
          <wp:inline distT="0" distB="0" distL="0" distR="0">
            <wp:extent cx="145415" cy="15430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 </w:t>
      </w:r>
      <w:r>
        <w:rPr>
          <w:rFonts w:ascii="Times New Roman" w:cs="Times New Roman" w:eastAsia="Times New Roman" w:hAnsi="Times New Roman"/>
          <w:sz w:val="25"/>
          <w:szCs w:val="25"/>
          <w:color w:val="auto"/>
          <w:vertAlign w:val="subscript"/>
        </w:rPr>
        <w:t xml:space="preserve">  </w:t>
      </w:r>
      <w:r>
        <w:rPr>
          <w:sz w:val="1"/>
          <w:szCs w:val="1"/>
          <w:color w:val="auto"/>
        </w:rPr>
        <w:drawing>
          <wp:inline distT="0" distB="0" distL="0" distR="0">
            <wp:extent cx="145415" cy="15430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(if no, see Instructions)</w:t>
      </w:r>
    </w:p>
    <w:p>
      <w:pPr>
        <w:sectPr>
          <w:pgSz w:w="11900" w:h="16838" w:orient="portrait"/>
          <w:cols w:equalWidth="0" w:num="2">
            <w:col w:w="7540" w:space="620"/>
            <w:col w:w="2860"/>
          </w:cols>
          <w:pgMar w:left="440" w:top="270" w:right="4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 Name SANGAMO THERAPEUTICS, INC.</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color w:val="auto"/>
              </w:rPr>
              <w:t>Case No. 26-10989</w:t>
            </w:r>
          </w:p>
        </w:tc>
        <w:tc>
          <w:tcPr>
            <w:tcW w:w="0" w:type="dxa"/>
            <w:vAlign w:val="bottom"/>
          </w:tcPr>
          <w:p>
            <w:pPr>
              <w:spacing w:after="0"/>
              <w:rPr>
                <w:sz w:val="1"/>
                <w:szCs w:val="1"/>
                <w:color w:val="auto"/>
              </w:rPr>
            </w:pPr>
          </w:p>
        </w:tc>
      </w:tr>
      <w:tr>
        <w:trPr>
          <w:trHeight w:val="29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Part 8: Individual Chapter 11 Debtors (Only)</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a. 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 Gross income (receipts) from salary and wages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b. 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Gross income (receipts) from self-employment</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c. 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 Gross income from all other sources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d. 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Total income in the reporting period (a+b+c)</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e. </w:t>
            </w:r>
          </w:p>
        </w:tc>
        <w:tc>
          <w:tcPr>
            <w:tcW w:w="7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 Payroll deductions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f. 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Self-employment related expenses</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g. </w:t>
            </w: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Living expenses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71"/>
              </w:rPr>
              <w:t>h. </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All other expenses</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Total expenses in the reporting period (e+f+g+h)</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j. 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Difference between total income and total expenses (d-i)</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1"/>
              </w:rPr>
              <w:t>k. </w:t>
            </w: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List the total amount of all postpetition debts that are past due</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2"/>
              </w:rPr>
              <w:t>l. </w:t>
            </w:r>
          </w:p>
        </w:tc>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Are you required to pay any Domestic Support Obligations as defined by 11 U.S.C § 101(14A)?</w:t>
            </w: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6"/>
                <w:szCs w:val="26"/>
                <w:color w:val="auto"/>
                <w:vertAlign w:val="subscript"/>
              </w:rPr>
              <w:t xml:space="preserve">  </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m.    If yes, have you made all Domestic Support Obligation payments?</w:t>
            </w:r>
          </w:p>
        </w:tc>
        <w:tc>
          <w:tcPr>
            <w:tcW w:w="820" w:type="dxa"/>
            <w:vAlign w:val="bottom"/>
            <w:vMerge w:val="restart"/>
            <w:shd w:val="clear" w:color="auto" w:fill="CCEEFF"/>
          </w:tcPr>
          <w:p>
            <w:pPr>
              <w:ind w:left="280"/>
              <w:spacing w:after="0" w:line="297" w:lineRule="exact"/>
              <w:rPr>
                <w:sz w:val="20"/>
                <w:szCs w:val="20"/>
                <w:color w:val="auto"/>
              </w:rPr>
            </w:pPr>
            <w:r>
              <w:rPr>
                <w:rFonts w:ascii="Times New Roman" w:cs="Times New Roman" w:eastAsia="Times New Roman" w:hAnsi="Times New Roman"/>
                <w:sz w:val="18"/>
                <w:szCs w:val="18"/>
                <w:color w:val="auto"/>
              </w:rPr>
              <w:t>Yes</w:t>
            </w:r>
            <w:r>
              <w:rPr>
                <w:rFonts w:ascii="Times New Roman" w:cs="Times New Roman" w:eastAsia="Times New Roman" w:hAnsi="Times New Roman"/>
                <w:sz w:val="26"/>
                <w:szCs w:val="26"/>
                <w:color w:val="auto"/>
                <w:vertAlign w:val="subscript"/>
              </w:rPr>
              <w:t xml:space="preserve">  </w:t>
            </w:r>
          </w:p>
        </w:tc>
        <w:tc>
          <w:tcPr>
            <w:tcW w:w="800" w:type="dxa"/>
            <w:vAlign w:val="bottom"/>
            <w:vMerge w:val="restart"/>
            <w:shd w:val="clear" w:color="auto" w:fill="CCEEFF"/>
          </w:tcPr>
          <w:p>
            <w:pPr>
              <w:ind w:left="200"/>
              <w:spacing w:after="0" w:line="297"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6"/>
                <w:szCs w:val="26"/>
                <w:color w:val="auto"/>
                <w:vertAlign w:val="subscript"/>
              </w:rPr>
              <w:t xml:space="preserve">  </w:t>
            </w:r>
          </w:p>
        </w:tc>
        <w:tc>
          <w:tcPr>
            <w:tcW w:w="1280" w:type="dxa"/>
            <w:vAlign w:val="bottom"/>
            <w:gridSpan w:val="2"/>
            <w:vMerge w:val="restart"/>
            <w:shd w:val="clear" w:color="auto" w:fill="CCEEFF"/>
          </w:tcPr>
          <w:p>
            <w:pPr>
              <w:ind w:left="320"/>
              <w:spacing w:after="0" w:line="297"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bscript"/>
              </w:rPr>
              <w:t xml:space="preserve"> </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2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-376555</wp:posOffset>
            </wp:positionV>
            <wp:extent cx="14605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-376555</wp:posOffset>
            </wp:positionV>
            <wp:extent cx="15430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-187960</wp:posOffset>
            </wp:positionV>
            <wp:extent cx="14605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-187960</wp:posOffset>
            </wp:positionV>
            <wp:extent cx="14605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605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-187960</wp:posOffset>
            </wp:positionV>
            <wp:extent cx="15430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Privacy Act Statement</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 declare under penalty of perjury that the foregoing Monthly Operating Report and its supporting documentation are true and correct and that I have been authorized to sign this report on behalf of the estate.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Nikunj Jain</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Nikunj Jain</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Responsible Party</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Responsible Party</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10/23/2026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6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0" w:name="page71"/>
    <w:bookmarkEnd w:id="70"/>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111760</wp:posOffset>
            </wp:positionV>
            <wp:extent cx="6523355" cy="76295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2335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20"/>
          </w:cols>
          <w:pgMar w:left="440" w:top="270" w:right="439" w:bottom="1440" w:gutter="0" w:footer="0" w:header="0"/>
        </w:sectPr>
      </w:pPr>
    </w:p>
    <w:bookmarkStart w:id="71" w:name="page72"/>
    <w:bookmarkEnd w:id="71"/>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111760</wp:posOffset>
            </wp:positionV>
            <wp:extent cx="6720840" cy="76295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20840"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20"/>
          </w:cols>
          <w:pgMar w:left="440" w:top="270" w:right="439" w:bottom="1440" w:gutter="0" w:footer="0" w:header="0"/>
        </w:sectPr>
      </w:pPr>
    </w:p>
    <w:bookmarkStart w:id="72" w:name="page73"/>
    <w:bookmarkEnd w:id="72"/>
    <w:p>
      <w:pPr>
        <w:spacing w:after="0"/>
        <w:tabs>
          <w:tab w:leader="none" w:pos="9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Name SANGAMO THERAPEUTICS, INC.</w:t>
      </w:r>
      <w:r>
        <w:rPr>
          <w:sz w:val="20"/>
          <w:szCs w:val="20"/>
          <w:color w:val="auto"/>
        </w:rPr>
        <w:tab/>
      </w:r>
      <w:r>
        <w:rPr>
          <w:rFonts w:ascii="Times New Roman" w:cs="Times New Roman" w:eastAsia="Times New Roman" w:hAnsi="Times New Roman"/>
          <w:sz w:val="18"/>
          <w:szCs w:val="18"/>
          <w:color w:val="auto"/>
        </w:rPr>
        <w:t>Case No. 26-10989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969125" cy="76295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69125"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UST Form 11-MOR (12/01/2021)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020"/>
          </w:cols>
          <w:pgMar w:left="440" w:top="270" w:right="4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IN THE UNITED STATES BANKRUPTCY COURT</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2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FOR THE DISTRICT DELAWARE</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auto"/>
            </w:tcBorders>
          </w:tcPr>
          <w:p>
            <w:pPr>
              <w:spacing w:after="0"/>
              <w:rPr>
                <w:sz w:val="22"/>
                <w:szCs w:val="22"/>
                <w:color w:val="auto"/>
              </w:rPr>
            </w:pPr>
          </w:p>
        </w:tc>
        <w:tc>
          <w:tcPr>
            <w:tcW w:w="4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Chapter 11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SANGAMO THERAPEUTICS, INC. </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Case No. 26-10989 (CTG)</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1080"/>
              <w:spacing w:after="0" w:line="216" w:lineRule="exact"/>
              <w:rPr>
                <w:sz w:val="20"/>
                <w:szCs w:val="20"/>
                <w:color w:val="auto"/>
              </w:rPr>
            </w:pPr>
            <w:r>
              <w:rPr>
                <w:rFonts w:ascii="Times New Roman" w:cs="Times New Roman" w:eastAsia="Times New Roman" w:hAnsi="Times New Roman"/>
                <w:sz w:val="17"/>
                <w:szCs w:val="17"/>
                <w:color w:val="auto"/>
              </w:rPr>
              <w:t>Debtor.</w:t>
            </w:r>
            <w:r>
              <w:rPr>
                <w:rFonts w:ascii="Times New Roman" w:cs="Times New Roman" w:eastAsia="Times New Roman" w:hAnsi="Times New Roman"/>
                <w:sz w:val="25"/>
                <w:szCs w:val="25"/>
                <w:color w:val="auto"/>
                <w:vertAlign w:val="superscript"/>
              </w:rPr>
              <w:t>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204"/>
        <w:spacing w:after="0"/>
        <w:rPr>
          <w:sz w:val="20"/>
          <w:szCs w:val="20"/>
          <w:color w:val="auto"/>
        </w:rPr>
      </w:pPr>
      <w:r>
        <w:rPr>
          <w:rFonts w:ascii="Times New Roman" w:cs="Times New Roman" w:eastAsia="Times New Roman" w:hAnsi="Times New Roman"/>
          <w:sz w:val="18"/>
          <w:szCs w:val="18"/>
          <w:b w:val="1"/>
          <w:bCs w:val="1"/>
          <w:color w:val="auto"/>
        </w:rPr>
        <w:t>GLOBAL NOTES AND STATEMENT OF LIMITATIONS, METHODOLOGY, AND</w:t>
      </w:r>
    </w:p>
    <w:p>
      <w:pPr>
        <w:spacing w:after="0" w:line="31" w:lineRule="exact"/>
        <w:rPr>
          <w:sz w:val="20"/>
          <w:szCs w:val="20"/>
          <w:color w:val="auto"/>
        </w:rPr>
      </w:pPr>
    </w:p>
    <w:p>
      <w:pPr>
        <w:ind w:left="2144"/>
        <w:spacing w:after="0"/>
        <w:rPr>
          <w:sz w:val="20"/>
          <w:szCs w:val="20"/>
          <w:color w:val="auto"/>
        </w:rPr>
      </w:pPr>
      <w:r>
        <w:rPr>
          <w:rFonts w:ascii="Times New Roman" w:cs="Times New Roman" w:eastAsia="Times New Roman" w:hAnsi="Times New Roman"/>
          <w:sz w:val="18"/>
          <w:szCs w:val="18"/>
          <w:b w:val="1"/>
          <w:bCs w:val="1"/>
          <w:color w:val="auto"/>
        </w:rPr>
        <w:t>DISCLAIMERS REGARDING THE DEBTOR’S MONTHLY OPERATING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On June 23, 2026 (the “</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Sangamo Therapeutics, Inc.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commenced the above-captioned chapter 11 case by filing a voluntary petition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with the United States Bankruptcy Court for the District of Delaware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The Debtor is authorized to operate its business as a debtor-in-possession pursuant to sections 1107(a) and 1108 of the Bankruptcy Code.</w:t>
      </w:r>
    </w:p>
    <w:p>
      <w:pPr>
        <w:spacing w:after="0" w:line="39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u w:val="single" w:color="auto"/>
          <w:color w:val="auto"/>
        </w:rPr>
        <w:t>General Methodology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Debtor is filing its monthly operating report (the “</w:t>
      </w:r>
      <w:r>
        <w:rPr>
          <w:rFonts w:ascii="Times New Roman" w:cs="Times New Roman" w:eastAsia="Times New Roman" w:hAnsi="Times New Roman"/>
          <w:sz w:val="18"/>
          <w:szCs w:val="18"/>
          <w:b w:val="1"/>
          <w:bCs w:val="1"/>
          <w:color w:val="auto"/>
        </w:rPr>
        <w:t>MOR</w:t>
      </w:r>
      <w:r>
        <w:rPr>
          <w:rFonts w:ascii="Times New Roman" w:cs="Times New Roman" w:eastAsia="Times New Roman" w:hAnsi="Times New Roman"/>
          <w:sz w:val="18"/>
          <w:szCs w:val="18"/>
          <w:color w:val="auto"/>
        </w:rPr>
        <w:t>”) for the period from September 1, 2026 through September 30, 2026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for purposes of complying with the monthly reporting requirements applicable in the Debtor’s chapter 11 case. The MOR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and has not been prepared in accordance with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does not include all of the information and footnotes required by U.S. GAAP. The MOR is not intended to reconcile to any financial statements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prepared or distributed by the Debtor. The MOR should not be relied upon by any persons for information relating to current or future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financial condition, events, or performance of the Debtor or its affiliates, as the results of operations contained herein are not necessarily indicative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results which may be expected from any other period or for the full year and may not necessarily reflect the results of operations, financial position, and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of receipts and disbursements in the future.</w:t>
      </w:r>
    </w:p>
    <w:p>
      <w:pPr>
        <w:spacing w:after="0" w:line="200" w:lineRule="exact"/>
        <w:rPr>
          <w:sz w:val="20"/>
          <w:szCs w:val="20"/>
          <w:color w:val="auto"/>
        </w:rPr>
      </w:pPr>
    </w:p>
    <w:p>
      <w:pPr>
        <w:spacing w:after="0" w:line="21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u w:val="single" w:color="auto"/>
          <w:color w:val="auto"/>
        </w:rPr>
        <w:t>Basis for Presentation</w:t>
      </w:r>
    </w:p>
    <w:p>
      <w:pPr>
        <w:spacing w:after="0" w:line="22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44" w:right="2420" w:hanging="444"/>
        <w:spacing w:after="0" w:line="208" w:lineRule="auto"/>
        <w:tabs>
          <w:tab w:leader="none" w:pos="436"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 and the last four digits of its taxpayer identification number are: Sangamo Therapeutics, Inc. (9556). The Debtor’s mailing address is 7000 Marina Blvd, Brisbane, CA 94005.</w:t>
      </w:r>
    </w:p>
    <w:p>
      <w:pPr>
        <w:sectPr>
          <w:pgSz w:w="11900" w:h="16838" w:orient="portrait"/>
          <w:cols w:equalWidth="0" w:num="1">
            <w:col w:w="10944"/>
          </w:cols>
          <w:pgMar w:left="436" w:top="266" w:right="519" w:bottom="1440" w:gutter="0" w:footer="0" w:header="0"/>
        </w:sectPr>
      </w:pPr>
    </w:p>
    <w:bookmarkStart w:id="74" w:name="page75"/>
    <w:bookmarkEnd w:id="74"/>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For the reasons discussed above, there can be no assurance that the financial information presented in the MOR is complete, and readers are strongly cautioned not to place undue reliance on the MOR.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Reporting Period</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herein, the MOR generally reflects the Debtor’s books and records for the applicable Reporting Period. Unless otherwise noted herein, no adjustments have been made for activity occurring after the close of the Reporting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Accuracy</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w:t>
      </w:r>
    </w:p>
    <w:p>
      <w:pPr>
        <w:sectPr>
          <w:pgSz w:w="11900" w:h="16838" w:orient="portrait"/>
          <w:cols w:equalWidth="0" w:num="1">
            <w:col w:w="11000"/>
          </w:cols>
          <w:pgMar w:left="440" w:top="270" w:right="459" w:bottom="1440" w:gutter="0" w:footer="0" w:header="0"/>
        </w:sectPr>
      </w:pPr>
    </w:p>
    <w:bookmarkStart w:id="75" w:name="page76"/>
    <w:bookmarkEnd w:id="75"/>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 in Possession Financing</w:t>
      </w:r>
    </w:p>
    <w:p>
      <w:pPr>
        <w:spacing w:after="0" w:line="227" w:lineRule="exact"/>
        <w:rPr>
          <w:sz w:val="20"/>
          <w:szCs w:val="20"/>
          <w:color w:val="auto"/>
        </w:rPr>
      </w:pPr>
    </w:p>
    <w:p>
      <w:pPr>
        <w:ind w:left="4"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June 25, 2026, the Court entered the </w:t>
      </w:r>
      <w:r>
        <w:rPr>
          <w:rFonts w:ascii="Times New Roman" w:cs="Times New Roman" w:eastAsia="Times New Roman" w:hAnsi="Times New Roman"/>
          <w:sz w:val="18"/>
          <w:szCs w:val="18"/>
          <w:i w:val="1"/>
          <w:iCs w:val="1"/>
          <w:color w:val="auto"/>
        </w:rPr>
        <w:t>Interim Order (A) Authorizing the Debtor to Obtain Postpetition Financing, (B) Granting Liens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Providing Claims with Superpriority </w:t>
      </w:r>
      <w:r>
        <w:rPr>
          <w:rFonts w:ascii="Times New Roman" w:cs="Times New Roman" w:eastAsia="Times New Roman" w:hAnsi="Times New Roman"/>
          <w:sz w:val="18"/>
          <w:szCs w:val="18"/>
          <w:color w:val="auto"/>
        </w:rPr>
        <w:t>Administrative Expense Status, (C) Modifying Automatic Stay, (D) Scheduling Final Hearing, and</w:t>
      </w:r>
      <w:r>
        <w:rPr>
          <w:rFonts w:ascii="Times New Roman" w:cs="Times New Roman" w:eastAsia="Times New Roman" w:hAnsi="Times New Roman"/>
          <w:sz w:val="18"/>
          <w:szCs w:val="18"/>
          <w:i w:val="1"/>
          <w:iCs w:val="1"/>
          <w:color w:val="auto"/>
        </w:rPr>
        <w:t xml:space="preserve"> (E) Granting Related Relief </w:t>
      </w:r>
      <w:r>
        <w:rPr>
          <w:rFonts w:ascii="Times New Roman" w:cs="Times New Roman" w:eastAsia="Times New Roman" w:hAnsi="Times New Roman"/>
          <w:sz w:val="18"/>
          <w:szCs w:val="18"/>
          <w:color w:val="auto"/>
        </w:rPr>
        <w:t>[Docket No. 63] (the “</w:t>
      </w:r>
      <w:r>
        <w:rPr>
          <w:rFonts w:ascii="Times New Roman" w:cs="Times New Roman" w:eastAsia="Times New Roman" w:hAnsi="Times New Roman"/>
          <w:sz w:val="18"/>
          <w:szCs w:val="18"/>
          <w:b w:val="1"/>
          <w:bCs w:val="1"/>
          <w:color w:val="auto"/>
        </w:rPr>
        <w:t>Initial Interim DIP Order</w:t>
      </w:r>
      <w:r>
        <w:rPr>
          <w:rFonts w:ascii="Times New Roman" w:cs="Times New Roman" w:eastAsia="Times New Roman" w:hAnsi="Times New Roman"/>
          <w:sz w:val="18"/>
          <w:szCs w:val="18"/>
          <w:color w:val="auto"/>
        </w:rPr>
        <w:t>”) authorizing the Debtor to enter into a senior secured superpriority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debtor-in-possession term loan facility (the “</w:t>
      </w:r>
      <w:r>
        <w:rPr>
          <w:rFonts w:ascii="Times New Roman" w:cs="Times New Roman" w:eastAsia="Times New Roman" w:hAnsi="Times New Roman"/>
          <w:sz w:val="18"/>
          <w:szCs w:val="18"/>
          <w:b w:val="1"/>
          <w:bCs w:val="1"/>
          <w:color w:val="auto"/>
        </w:rPr>
        <w:t>Initial DIP Facility</w:t>
      </w:r>
      <w:r>
        <w:rPr>
          <w:rFonts w:ascii="Times New Roman" w:cs="Times New Roman" w:eastAsia="Times New Roman" w:hAnsi="Times New Roman"/>
          <w:sz w:val="18"/>
          <w:szCs w:val="18"/>
          <w:color w:val="auto"/>
        </w:rPr>
        <w:t>”). Following the entry of the Initial Interim DIP Order, the Debtor drew $10,500,000 under the Initial DIP Facility. Please refer to the motion [Docket No. 10] seeking entry of the Initial Interim DIP Order for additional information regarding the Initial DIP Facility.</w:t>
      </w:r>
    </w:p>
    <w:p>
      <w:pPr>
        <w:spacing w:after="0" w:line="182" w:lineRule="exact"/>
        <w:rPr>
          <w:sz w:val="20"/>
          <w:szCs w:val="20"/>
          <w:color w:val="auto"/>
        </w:rPr>
      </w:pPr>
    </w:p>
    <w:p>
      <w:pPr>
        <w:ind w:left="4" w:right="1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On July 22, 2026, the Debtor filed the </w:t>
      </w:r>
      <w:r>
        <w:rPr>
          <w:rFonts w:ascii="Times New Roman" w:cs="Times New Roman" w:eastAsia="Times New Roman" w:hAnsi="Times New Roman"/>
          <w:sz w:val="17"/>
          <w:szCs w:val="17"/>
          <w:i w:val="1"/>
          <w:iCs w:val="1"/>
          <w:color w:val="auto"/>
        </w:rPr>
        <w:t>Debtor’s Motion for Entry of Interim and Final Orders (A) Authorizing the Debtor to Obtain Replacement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Postpetition Financing, (B) Granting Liens and Providing Claims with Superpriority Administrative Expense Status, (C) Modifying Automatic Stay,</w:t>
      </w:r>
    </w:p>
    <w:p>
      <w:pPr>
        <w:spacing w:after="0" w:line="1" w:lineRule="exact"/>
        <w:rPr>
          <w:sz w:val="20"/>
          <w:szCs w:val="20"/>
          <w:color w:val="auto"/>
        </w:rPr>
      </w:pPr>
    </w:p>
    <w:p>
      <w:pPr>
        <w:ind w:left="4" w:hanging="4"/>
        <w:spacing w:after="0" w:line="251" w:lineRule="auto"/>
        <w:tabs>
          <w:tab w:leader="none" w:pos="299"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Scheduling Final Hearing, and (E) Granting Related Relief </w:t>
      </w:r>
      <w:r>
        <w:rPr>
          <w:rFonts w:ascii="Times New Roman" w:cs="Times New Roman" w:eastAsia="Times New Roman" w:hAnsi="Times New Roman"/>
          <w:sz w:val="18"/>
          <w:szCs w:val="18"/>
          <w:color w:val="auto"/>
        </w:rPr>
        <w:t>[Docket No. 161] (the “</w:t>
      </w:r>
      <w:r>
        <w:rPr>
          <w:rFonts w:ascii="Times New Roman" w:cs="Times New Roman" w:eastAsia="Times New Roman" w:hAnsi="Times New Roman"/>
          <w:sz w:val="18"/>
          <w:szCs w:val="18"/>
          <w:b w:val="1"/>
          <w:bCs w:val="1"/>
          <w:color w:val="auto"/>
        </w:rPr>
        <w:t>Replacement DIP Motion</w:t>
      </w:r>
      <w:r>
        <w:rPr>
          <w:rFonts w:ascii="Times New Roman" w:cs="Times New Roman" w:eastAsia="Times New Roman" w:hAnsi="Times New Roman"/>
          <w:sz w:val="18"/>
          <w:szCs w:val="18"/>
          <w:color w:val="auto"/>
        </w:rPr>
        <w:t>”), which sought entry of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orders, among other things, authorizing the Debtor to enter into a senior secured superpriority debtor-in possession term loan facility (the “</w:t>
      </w:r>
      <w:r>
        <w:rPr>
          <w:rFonts w:ascii="Times New Roman" w:cs="Times New Roman" w:eastAsia="Times New Roman" w:hAnsi="Times New Roman"/>
          <w:sz w:val="18"/>
          <w:szCs w:val="18"/>
          <w:b w:val="1"/>
          <w:bCs w:val="1"/>
          <w:color w:val="auto"/>
        </w:rPr>
        <w:t>Replacement DIP Facility</w:t>
      </w:r>
      <w:r>
        <w:rPr>
          <w:rFonts w:ascii="Times New Roman" w:cs="Times New Roman" w:eastAsia="Times New Roman" w:hAnsi="Times New Roman"/>
          <w:sz w:val="18"/>
          <w:szCs w:val="18"/>
          <w:color w:val="auto"/>
        </w:rPr>
        <w:t>”) with Future Solution Investments LLC (“</w:t>
      </w:r>
      <w:r>
        <w:rPr>
          <w:rFonts w:ascii="Times New Roman" w:cs="Times New Roman" w:eastAsia="Times New Roman" w:hAnsi="Times New Roman"/>
          <w:sz w:val="18"/>
          <w:szCs w:val="18"/>
          <w:b w:val="1"/>
          <w:bCs w:val="1"/>
          <w:color w:val="auto"/>
        </w:rPr>
        <w:t>FSI</w:t>
      </w:r>
      <w:r>
        <w:rPr>
          <w:rFonts w:ascii="Times New Roman" w:cs="Times New Roman" w:eastAsia="Times New Roman" w:hAnsi="Times New Roman"/>
          <w:sz w:val="18"/>
          <w:szCs w:val="18"/>
          <w:color w:val="auto"/>
        </w:rPr>
        <w:t>”), as lender, to replace the Initial DIP Facility. On July 23, 2026, the Court entered an interim order [Docket No. 176] (the “</w:t>
      </w:r>
      <w:r>
        <w:rPr>
          <w:rFonts w:ascii="Times New Roman" w:cs="Times New Roman" w:eastAsia="Times New Roman" w:hAnsi="Times New Roman"/>
          <w:sz w:val="18"/>
          <w:szCs w:val="18"/>
          <w:b w:val="1"/>
          <w:bCs w:val="1"/>
          <w:color w:val="auto"/>
        </w:rPr>
        <w:t>Replacement Interim DIP Order</w:t>
      </w:r>
      <w:r>
        <w:rPr>
          <w:rFonts w:ascii="Times New Roman" w:cs="Times New Roman" w:eastAsia="Times New Roman" w:hAnsi="Times New Roman"/>
          <w:sz w:val="18"/>
          <w:szCs w:val="18"/>
          <w:color w:val="auto"/>
        </w:rPr>
        <w:t>”) granting the relief requested in the Replacement DIP Motion on an interim basis, and on August 20, 2026, the Court entered a final order [Docket No. 360] (the “</w:t>
      </w:r>
      <w:r>
        <w:rPr>
          <w:rFonts w:ascii="Times New Roman" w:cs="Times New Roman" w:eastAsia="Times New Roman" w:hAnsi="Times New Roman"/>
          <w:sz w:val="18"/>
          <w:szCs w:val="18"/>
          <w:b w:val="1"/>
          <w:bCs w:val="1"/>
          <w:color w:val="auto"/>
        </w:rPr>
        <w:t>Replacement Final DIP Order</w:t>
      </w:r>
      <w:r>
        <w:rPr>
          <w:rFonts w:ascii="Times New Roman" w:cs="Times New Roman" w:eastAsia="Times New Roman" w:hAnsi="Times New Roman"/>
          <w:sz w:val="18"/>
          <w:szCs w:val="18"/>
          <w:color w:val="auto"/>
        </w:rPr>
        <w:t>,” and together with the Initial Interim DIP Order and the Replacement Interim DIP Order, the “</w:t>
      </w:r>
      <w:r>
        <w:rPr>
          <w:rFonts w:ascii="Times New Roman" w:cs="Times New Roman" w:eastAsia="Times New Roman" w:hAnsi="Times New Roman"/>
          <w:sz w:val="18"/>
          <w:szCs w:val="18"/>
          <w:b w:val="1"/>
          <w:bCs w:val="1"/>
          <w:color w:val="auto"/>
        </w:rPr>
        <w:t>DIP Orders</w:t>
      </w:r>
      <w:r>
        <w:rPr>
          <w:rFonts w:ascii="Times New Roman" w:cs="Times New Roman" w:eastAsia="Times New Roman" w:hAnsi="Times New Roman"/>
          <w:sz w:val="18"/>
          <w:szCs w:val="18"/>
          <w:color w:val="auto"/>
        </w:rPr>
        <w:t>”) granting the relief requested in the Replacement DIP Motion on a final basis. Prior to the Reporting Period, the Debtor incurred $25 million in DIP Obligations (as defined in the Final Replacement DIP Order) under the Replacement DIP Facility, $11,432,958 of which was paid by the Debtor or on the Debtor’s behalf to satisfy all outstanding obligations arising under the Initial DIP Facility, including all fees. Also, prior to the Reporting Period, FSI credit bid $250,000 of DIP Obligations in connection with the FSI Equipment Sale (as defined below). Please refer to the Replacement DIP Motion for additional information regarding the Replacement DIP Facility.</w:t>
      </w:r>
    </w:p>
    <w:p>
      <w:pPr>
        <w:spacing w:after="0" w:line="193"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During the Reporting Period, the Debtor repaid approximately $7.2 million of DIP Obligations. All remaining DIP Obligations were paid in full on October 5, 2026, and such payment will be reflected in the October monthly operating report.</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Prepetition Claims Pursuant to First Day Orders</w:t>
      </w:r>
    </w:p>
    <w:p>
      <w:pPr>
        <w:spacing w:after="0" w:line="229"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certain interim orders of the Court entered on or about June 24, 2026 and final orders of the Court entered on or about July 21, 2026 (the “</w:t>
      </w:r>
      <w:r>
        <w:rPr>
          <w:rFonts w:ascii="Times New Roman" w:cs="Times New Roman" w:eastAsia="Times New Roman" w:hAnsi="Times New Roman"/>
          <w:sz w:val="18"/>
          <w:szCs w:val="18"/>
          <w:b w:val="1"/>
          <w:bCs w:val="1"/>
          <w:color w:val="auto"/>
        </w:rPr>
        <w:t>First Day Orders</w:t>
      </w:r>
      <w:r>
        <w:rPr>
          <w:rFonts w:ascii="Times New Roman" w:cs="Times New Roman" w:eastAsia="Times New Roman" w:hAnsi="Times New Roman"/>
          <w:sz w:val="18"/>
          <w:szCs w:val="18"/>
          <w:color w:val="auto"/>
        </w:rPr>
        <w:t>”), the Debtor is authorized (but not directed) to pay, among other things, certain prepetition claims of employees and taxing authorities. Accordingly, these liabilities may have been or may be satisfied in accordance with such First Day Orders.</w:t>
      </w:r>
    </w:p>
    <w:p>
      <w:pPr>
        <w:spacing w:after="0" w:line="176"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In addition, in connection with the Sale Transactions, as defined below, the Debtor assumed and assigned certain executory contracts to the buyers of its assets. In connection therewith, the Debtor and/or the buyers paid certain cure costs to cure prepetition defaults under the relevant contracts.</w:t>
      </w:r>
    </w:p>
    <w:p>
      <w:pPr>
        <w:spacing w:after="0" w:line="140"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To the extent any payments were made on account of prepetition claims following the Petition Date to satisfy cure costs or pursuant to the authority granted to the Debtor under the First Day Orders, such payments have been included in the MOR (subject to the notes and statements and limitations provided herein).</w:t>
      </w:r>
    </w:p>
    <w:p>
      <w:pPr>
        <w:sectPr>
          <w:pgSz w:w="11900" w:h="16838" w:orient="portrait"/>
          <w:cols w:equalWidth="0" w:num="1">
            <w:col w:w="11004"/>
          </w:cols>
          <w:pgMar w:left="436" w:top="266" w:right="4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Rights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MOR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Cash Receipts and Disbursements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DIP Orders, fees and expenses of estate professionals were placed into the Professional Fees Account (as defined in the DIP Orders) maintained by the Debtor. The transfer of such funds to the Professional Fee Account were treated as a transfer between Debtor accounts, and, therefore, were not treated as a distribution in Part 1(c). Professional fees will be treated as a disbursement in the reporting period in which they are paid to the applicable professionals.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Similarly, pursuant to the interim and final orders approving, among other things, the Debtor’s proposed form of adequate assurance of payment to utility companies [Docket Nos. 56 &amp; 142] (the “</w:t>
      </w:r>
      <w:r>
        <w:rPr>
          <w:rFonts w:ascii="Times New Roman" w:cs="Times New Roman" w:eastAsia="Times New Roman" w:hAnsi="Times New Roman"/>
          <w:sz w:val="18"/>
          <w:szCs w:val="18"/>
          <w:b w:val="1"/>
          <w:bCs w:val="1"/>
          <w:color w:val="auto"/>
        </w:rPr>
        <w:t>Utilities Orders</w:t>
      </w:r>
      <w:r>
        <w:rPr>
          <w:rFonts w:ascii="Times New Roman" w:cs="Times New Roman" w:eastAsia="Times New Roman" w:hAnsi="Times New Roman"/>
          <w:sz w:val="18"/>
          <w:szCs w:val="18"/>
          <w:color w:val="auto"/>
        </w:rPr>
        <w:t>”), the Debtor deposited funds into the Utility Deposit Account (as defined in the Utilities Orders) prior to the Reporting Period. The Utility Deposit Account is a segregated account maintained by the Debtor. Accordingly, the funds in such account will be treated as disbursements only if they are ultimately paid to a third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2: Asset and Liability Status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continues to pay postpetition invoices on account of postpetition goods provided and services rendered in the ordinary course of business.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w:t>
      </w:r>
    </w:p>
    <w:p>
      <w:pPr>
        <w:sectPr>
          <w:pgSz w:w="11900" w:h="16838" w:orient="portrait"/>
          <w:cols w:equalWidth="0" w:num="1">
            <w:col w:w="11000"/>
          </w:cols>
          <w:pgMar w:left="440" w:top="266" w:right="459" w:bottom="1440" w:gutter="0" w:footer="0" w:header="0"/>
        </w:sectPr>
      </w:pPr>
    </w:p>
    <w:bookmarkStart w:id="77" w:name="page78"/>
    <w:bookmarkEnd w:id="77"/>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amounts listed as “Prepetition Secured Debt,” “Prepetition Priority Debt” and “Prepetition Unsecured Debt” are preliminary and are subject to ongoing review and reconciliation by the Debtor. All amounts and classifications are subject to material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Part 2c, the Debtor does not hold inventory; therefore, no inventory valuation method is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to Part 3: Assets Sold or Transferred</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Reporting Period, the Court entered: (i) an order [Docket No. 356] approving the sale (the “</w:t>
      </w:r>
      <w:r>
        <w:rPr>
          <w:rFonts w:ascii="Times New Roman" w:cs="Times New Roman" w:eastAsia="Times New Roman" w:hAnsi="Times New Roman"/>
          <w:sz w:val="18"/>
          <w:szCs w:val="18"/>
          <w:b w:val="1"/>
          <w:bCs w:val="1"/>
          <w:color w:val="auto"/>
        </w:rPr>
        <w:t>Surplus Equipment Sale</w:t>
      </w:r>
      <w:r>
        <w:rPr>
          <w:rFonts w:ascii="Times New Roman" w:cs="Times New Roman" w:eastAsia="Times New Roman" w:hAnsi="Times New Roman"/>
          <w:sz w:val="18"/>
          <w:szCs w:val="18"/>
          <w:color w:val="auto"/>
        </w:rPr>
        <w:t>”) of certain equipment and office furniture to Surplus Solutions, LLC for $2,300,000 plus certain other consideration, and (ii) an order [Docket No. 358] approving the sale (the “</w:t>
      </w:r>
      <w:r>
        <w:rPr>
          <w:rFonts w:ascii="Times New Roman" w:cs="Times New Roman" w:eastAsia="Times New Roman" w:hAnsi="Times New Roman"/>
          <w:sz w:val="18"/>
          <w:szCs w:val="18"/>
          <w:b w:val="1"/>
          <w:bCs w:val="1"/>
          <w:color w:val="auto"/>
        </w:rPr>
        <w:t>FSI Equipment Sale</w:t>
      </w:r>
      <w:r>
        <w:rPr>
          <w:rFonts w:ascii="Times New Roman" w:cs="Times New Roman" w:eastAsia="Times New Roman" w:hAnsi="Times New Roman"/>
          <w:sz w:val="18"/>
          <w:szCs w:val="18"/>
          <w:color w:val="auto"/>
        </w:rPr>
        <w:t>”) of certain lab equipment to FSI for an offset of $250,000 against the DIP Obligations (as defined in the Replacement Final DIP Order) plus certain other consideration. Both equipment sales closed on or about August 20, 2026.</w:t>
      </w:r>
    </w:p>
    <w:p>
      <w:pPr>
        <w:spacing w:after="0" w:line="18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During the Reporting Period, the Debtor closed two additional sales for certain of its assets. First, on August 20, 2026, the Court entered an order [Docket No. 362] approving, among other things, the sale (the “</w:t>
      </w:r>
      <w:r>
        <w:rPr>
          <w:rFonts w:ascii="Times New Roman" w:cs="Times New Roman" w:eastAsia="Times New Roman" w:hAnsi="Times New Roman"/>
          <w:sz w:val="17"/>
          <w:szCs w:val="17"/>
          <w:b w:val="1"/>
          <w:bCs w:val="1"/>
          <w:color w:val="auto"/>
        </w:rPr>
        <w:t>Merope Sale Transaction</w:t>
      </w:r>
      <w:r>
        <w:rPr>
          <w:rFonts w:ascii="Times New Roman" w:cs="Times New Roman" w:eastAsia="Times New Roman" w:hAnsi="Times New Roman"/>
          <w:sz w:val="17"/>
          <w:szCs w:val="17"/>
          <w:color w:val="auto"/>
        </w:rPr>
        <w:t>”) of certain assets to Merope Acquisition Sub, LLC. The Merope Sale Transaction closed on September 4, 2026 [Docket No. 436]. Second, on September 2, 2026, the Court entered an order [Docket No. 426], approving, among other things, the sale (the “</w:t>
      </w:r>
      <w:r>
        <w:rPr>
          <w:rFonts w:ascii="Times New Roman" w:cs="Times New Roman" w:eastAsia="Times New Roman" w:hAnsi="Times New Roman"/>
          <w:sz w:val="17"/>
          <w:szCs w:val="17"/>
          <w:b w:val="1"/>
          <w:bCs w:val="1"/>
          <w:color w:val="auto"/>
        </w:rPr>
        <w:t>Fabry Sale Transaction</w:t>
      </w:r>
      <w:r>
        <w:rPr>
          <w:rFonts w:ascii="Times New Roman" w:cs="Times New Roman" w:eastAsia="Times New Roman" w:hAnsi="Times New Roman"/>
          <w:sz w:val="17"/>
          <w:szCs w:val="17"/>
          <w:color w:val="auto"/>
        </w:rPr>
        <w:t>” and together with the Equipment Sales and the Merope Sale Transaction, the “</w:t>
      </w:r>
      <w:r>
        <w:rPr>
          <w:rFonts w:ascii="Times New Roman" w:cs="Times New Roman" w:eastAsia="Times New Roman" w:hAnsi="Times New Roman"/>
          <w:sz w:val="17"/>
          <w:szCs w:val="17"/>
          <w:b w:val="1"/>
          <w:bCs w:val="1"/>
          <w:color w:val="auto"/>
        </w:rPr>
        <w:t>Sale Transactions</w:t>
      </w:r>
      <w:r>
        <w:rPr>
          <w:rFonts w:ascii="Times New Roman" w:cs="Times New Roman" w:eastAsia="Times New Roman" w:hAnsi="Times New Roman"/>
          <w:sz w:val="17"/>
          <w:szCs w:val="17"/>
          <w:color w:val="auto"/>
        </w:rPr>
        <w:t>”) of certain assets to PTC Therapeutics, Inc. The Fabry Sale Transaction closed on September 17, 2026 [Docket No. 468].</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Collectively, the Sale Transactions generated $161 million in cash proceeds, plus $100 million in milestone payments that may be payable to the Debtor if certain programs sold pursuant to the Sale Transactions achieve specified development and sales targets. Also, in connection with the Sale Transactions: (i) the Debtor’s employee headcount decreased significantly (leading to increased payroll costs and cashed out paid-tine-off expenses), (ii) the Debtor agreed to provide certain transition services to the buyers in exchange for cash payments, (iii) certain employees earned awards under the KEIP/KERP programs (as defined in the attestations attached hereto), (iv) the Debtor and/or the buyers made payments to cure defaults under certain executory contracts that were assumed and assigned to the buyers, and (iv) the Debtor’s paid Astellas Gene Therapies, Inc.’s bid protections from the proceeds of the Fabry Sale Transaction in accordance with the order establishing bidding procedures for the sale of the Debtor’s assets [Docket No. 122].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5: Professional Fees and Expenses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All payments to professionals were authorized by (i) the </w:t>
      </w:r>
      <w:r>
        <w:rPr>
          <w:rFonts w:ascii="Times New Roman" w:cs="Times New Roman" w:eastAsia="Times New Roman" w:hAnsi="Times New Roman"/>
          <w:sz w:val="18"/>
          <w:szCs w:val="18"/>
          <w:i w:val="1"/>
          <w:iCs w:val="1"/>
          <w:color w:val="auto"/>
        </w:rPr>
        <w:t>Order Establishing Procedures for Interim Compensation and Reimbursement of Professionals</w:t>
      </w:r>
      <w:r>
        <w:rPr>
          <w:rFonts w:ascii="Times New Roman" w:cs="Times New Roman" w:eastAsia="Times New Roman" w:hAnsi="Times New Roman"/>
          <w:sz w:val="18"/>
          <w:szCs w:val="18"/>
          <w:color w:val="auto"/>
        </w:rPr>
        <w:t xml:space="preserve"> [Docket No. 205] (the “</w:t>
      </w:r>
      <w:r>
        <w:rPr>
          <w:rFonts w:ascii="Times New Roman" w:cs="Times New Roman" w:eastAsia="Times New Roman" w:hAnsi="Times New Roman"/>
          <w:sz w:val="18"/>
          <w:szCs w:val="18"/>
          <w:b w:val="1"/>
          <w:bCs w:val="1"/>
          <w:color w:val="auto"/>
        </w:rPr>
        <w:t>Interim Compensation Order</w:t>
      </w:r>
      <w:r>
        <w:rPr>
          <w:rFonts w:ascii="Times New Roman" w:cs="Times New Roman" w:eastAsia="Times New Roman" w:hAnsi="Times New Roman"/>
          <w:sz w:val="18"/>
          <w:szCs w:val="18"/>
          <w:color w:val="auto"/>
        </w:rPr>
        <w:t xml:space="preserve">”) (ii) the </w:t>
      </w:r>
      <w:r>
        <w:rPr>
          <w:rFonts w:ascii="Times New Roman" w:cs="Times New Roman" w:eastAsia="Times New Roman" w:hAnsi="Times New Roman"/>
          <w:sz w:val="18"/>
          <w:szCs w:val="18"/>
          <w:i w:val="1"/>
          <w:iCs w:val="1"/>
          <w:color w:val="auto"/>
        </w:rPr>
        <w:t>Order (I) Authorizing the Employment and Compensation of Professionals Utilized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Ordinary Course of Business and (II) Granting Related Relief </w:t>
      </w:r>
      <w:r>
        <w:rPr>
          <w:rFonts w:ascii="Times New Roman" w:cs="Times New Roman" w:eastAsia="Times New Roman" w:hAnsi="Times New Roman"/>
          <w:sz w:val="18"/>
          <w:szCs w:val="18"/>
          <w:color w:val="auto"/>
        </w:rPr>
        <w:t>[Docket No. 202] (the “</w:t>
      </w:r>
      <w:r>
        <w:rPr>
          <w:rFonts w:ascii="Times New Roman" w:cs="Times New Roman" w:eastAsia="Times New Roman" w:hAnsi="Times New Roman"/>
          <w:sz w:val="18"/>
          <w:szCs w:val="18"/>
          <w:b w:val="1"/>
          <w:bCs w:val="1"/>
          <w:color w:val="auto"/>
        </w:rPr>
        <w:t>OCP Order</w:t>
      </w:r>
      <w:r>
        <w:rPr>
          <w:rFonts w:ascii="Times New Roman" w:cs="Times New Roman" w:eastAsia="Times New Roman" w:hAnsi="Times New Roman"/>
          <w:sz w:val="18"/>
          <w:szCs w:val="18"/>
          <w:color w:val="auto"/>
        </w:rPr>
        <w:t>”), or (iii) the Court’s orders approving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of various professionals in this chapter 11 case.</w:t>
      </w:r>
    </w:p>
    <w:p>
      <w:pPr>
        <w:sectPr>
          <w:pgSz w:w="11900" w:h="16838" w:orient="portrait"/>
          <w:cols w:equalWidth="0" w:num="1">
            <w:col w:w="11000"/>
          </w:cols>
          <w:pgMar w:left="440" w:top="270" w:right="459" w:bottom="1440" w:gutter="0" w:footer="0" w:header="0"/>
        </w:sectPr>
      </w:pPr>
    </w:p>
    <w:bookmarkStart w:id="78" w:name="page79"/>
    <w:bookmarkEnd w:id="78"/>
    <w:p>
      <w:pPr>
        <w:ind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ordinary course professional that received payments during the Reporting Period was retained prior to or during the Reporting Period in accordance with the OCP Order. While certain ordinary course professionals were inadvertently paid prematurely, all professionals that received premature payments were subsequently retained in accordance with the OCP Order.</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Reporting Period, the Debtor’s transferred certain transaction fees earned by Raymond James &amp; Associates, LLP, the Debtor’s investment banker, into an escrow account. All amounts placed in such account will be held in escrow until such fees are authorized for payment pursuant to the procedures set forth in the Interim Compensation Order or another order of the Court.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6: Postpetition Taxes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Regarding </w:t>
      </w:r>
      <w:r>
        <w:rPr>
          <w:rFonts w:ascii="Times New Roman" w:cs="Times New Roman" w:eastAsia="Times New Roman" w:hAnsi="Times New Roman"/>
          <w:sz w:val="18"/>
          <w:szCs w:val="18"/>
          <w:u w:val="single" w:color="auto"/>
          <w:color w:val="auto"/>
        </w:rPr>
        <w:t>Part 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6d</w:t>
      </w:r>
      <w:r>
        <w:rPr>
          <w:rFonts w:ascii="Times New Roman" w:cs="Times New Roman" w:eastAsia="Times New Roman" w:hAnsi="Times New Roman"/>
          <w:sz w:val="18"/>
          <w:szCs w:val="18"/>
          <w:color w:val="auto"/>
        </w:rPr>
        <w:t>, postpetition employer payroll taxes accrued and paid include both the employer and employee portions of payroll taxes. Such amounts include payroll taxes associated with cashed-out paid time off.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Part 7: Questionnaire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attached attestations regarding post-petition borrowing, payments on prepetition debt, and payments to insiders.</w:t>
      </w:r>
    </w:p>
    <w:p>
      <w:pPr>
        <w:sectPr>
          <w:pgSz w:w="11900" w:h="16838" w:orient="portrait"/>
          <w:cols w:equalWidth="0" w:num="1">
            <w:col w:w="10940"/>
          </w:cols>
          <w:pgMar w:left="440" w:top="270" w:right="51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Post-Petition Borrowing Activity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September 1, 2026 –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postpetition borrowing during the period of September 1, 2026 through September 30, 2026.</w:t>
      </w: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Prior to the Reporting Period, the Debtor incurred $25 million under the </w:t>
      </w:r>
      <w:r>
        <w:rPr>
          <w:rFonts w:ascii="Times New Roman" w:cs="Times New Roman" w:eastAsia="Times New Roman" w:hAnsi="Times New Roman"/>
          <w:sz w:val="18"/>
          <w:szCs w:val="18"/>
          <w:i w:val="1"/>
          <w:iCs w:val="1"/>
          <w:color w:val="auto"/>
        </w:rPr>
        <w:t>Final Order (A) Authorizing the Debtor to Obtain Replacement Postpetition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(B) Granting Liens and Providing Claims with Superpriority Administrative Expense Status, (C) Modifying Automatic Stay, (D) Scheduling Final Hearing, and (E) Granting Related Relief </w:t>
      </w:r>
      <w:r>
        <w:rPr>
          <w:rFonts w:ascii="Times New Roman" w:cs="Times New Roman" w:eastAsia="Times New Roman" w:hAnsi="Times New Roman"/>
          <w:sz w:val="18"/>
          <w:szCs w:val="18"/>
          <w:color w:val="auto"/>
        </w:rPr>
        <w:t>[Docket No. 360] (the “</w:t>
      </w:r>
      <w:r>
        <w:rPr>
          <w:rFonts w:ascii="Times New Roman" w:cs="Times New Roman" w:eastAsia="Times New Roman" w:hAnsi="Times New Roman"/>
          <w:sz w:val="18"/>
          <w:szCs w:val="18"/>
          <w:b w:val="1"/>
          <w:bCs w:val="1"/>
          <w:color w:val="auto"/>
        </w:rPr>
        <w:t>Replacement Final DIP Order</w:t>
      </w:r>
      <w:r>
        <w:rPr>
          <w:rFonts w:ascii="Times New Roman" w:cs="Times New Roman" w:eastAsia="Times New Roman" w:hAnsi="Times New Roman"/>
          <w:sz w:val="18"/>
          <w:szCs w:val="18"/>
          <w:color w:val="auto"/>
        </w:rPr>
        <w:t>”). The Debtor did not make any draws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Replacement Final DIP Order and did not otherwise incur any postpetition debt during the reporting period. During the Reporting Period, the Debtor repaid approximate $7.2 million of DIP Obligations</w:t>
      </w: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236"/>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8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c>
          <w:tcPr>
            <w:tcW w:w="8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on Prepetition Debt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September 1, 2026 –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All payments on prepetition debt made by the Debtor during the Reporting Period (and included in the disbursements reported in this MOR) were authorized under various orders granted by the Court, which (i) granted the Debtor’s various “first day” motions that were filed following the commencement of the chapter 11 case, and (ii) authorized the Debtor and/or the buyers to pay amounts necessary to cure prepetition defaults under executory contracts that were assumed during the Reporting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7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Nikunj Jain</w:t>
            </w:r>
          </w:p>
        </w:tc>
        <w:tc>
          <w:tcPr>
            <w:tcW w:w="700" w:type="dxa"/>
            <w:vAlign w:val="bottom"/>
          </w:tcPr>
          <w:p>
            <w:pPr>
              <w:spacing w:after="0"/>
              <w:rPr>
                <w:sz w:val="24"/>
                <w:szCs w:val="24"/>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Payments to Insiders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September 1, 2026 –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payments to insiders during the period of September 1, 2026 through September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all payments to insiders were on account of ordinary course salaries and authorized travel and expense reimbursements.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31, 2026, the Court entered an order [Docket No. 216], among other things, authorizing the Debtor to implement a key employee retention program and a key employee incentive program (the “</w:t>
      </w:r>
      <w:r>
        <w:rPr>
          <w:rFonts w:ascii="Times New Roman" w:cs="Times New Roman" w:eastAsia="Times New Roman" w:hAnsi="Times New Roman"/>
          <w:sz w:val="18"/>
          <w:szCs w:val="18"/>
          <w:b w:val="1"/>
          <w:bCs w:val="1"/>
          <w:color w:val="auto"/>
        </w:rPr>
        <w:t>KEIP/KERP Programs</w:t>
      </w:r>
      <w:r>
        <w:rPr>
          <w:rFonts w:ascii="Times New Roman" w:cs="Times New Roman" w:eastAsia="Times New Roman" w:hAnsi="Times New Roman"/>
          <w:sz w:val="18"/>
          <w:szCs w:val="18"/>
          <w:color w:val="auto"/>
        </w:rPr>
        <w:t>”). During the Reporting Period, certain payments were made to insiders under the KEIP/KERP Programs for awards earned upon the closing of the Sale Transactions.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set forth in the Debtor’s motion seeking authority to pay prepetition employee obligations [Docket No. 9], the Debtor maintained certain equity-based compensation programs prior to the Petition Date. Pursuant to such programs, certain employees, including certain executives that may be insiders, were awarded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prior to the Petition Date. During the Reporting Period, 35,931 RSUs awarded to two individuals prior to the Petition Date vested. For the avoidance of doubt, the Debtor stopped awarding RSUs prior to the Petition Date and no RSUs or any other form of equity-based compensation have been awarded since the Petition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other transfers were made to insiders during this reporting period.</w:t>
            </w:r>
          </w:p>
        </w:tc>
        <w:tc>
          <w:tcPr>
            <w:tcW w:w="8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8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110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110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c>
          <w:tcPr>
            <w:tcW w:w="8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110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 bank statements and bank reconciliations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6995160" cy="43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September 1, 2026 – September 30, 2026</w:t>
      </w:r>
    </w:p>
    <w:p>
      <w:pPr>
        <w:spacing w:after="0" w:line="200" w:lineRule="exact"/>
        <w:rPr>
          <w:sz w:val="20"/>
          <w:szCs w:val="20"/>
          <w:color w:val="auto"/>
        </w:rPr>
      </w:pPr>
    </w:p>
    <w:p>
      <w:pPr>
        <w:sectPr>
          <w:pgSz w:w="11900" w:h="16838" w:orient="portrait"/>
          <w:cols w:equalWidth="0" w:num="2">
            <w:col w:w="5340" w:space="400"/>
            <w:col w:w="5280"/>
          </w:cols>
          <w:pgMar w:left="440" w:top="266"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Debtor hereby submits this attestation regarding bank account reconciliations in lieu of providing copies of bank statements, bank reconciliations, and journal entries.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Debtor’s standard practice is to ensure that bank reconciliations are completed as part of the month end close each reporting period. I attest that each of the Debtor’s bank accounts has been reconciled in accordance with its standard practices.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236"/>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8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c>
          <w:tcPr>
            <w:tcW w:w="8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 DISTRICT OF DELAWARE</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Sangamo Therapeutics,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Sold or Transferred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No: 26-10989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Period: September 1, 2026 –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219075</wp:posOffset>
            </wp:positionV>
            <wp:extent cx="699516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Debtor hereby submits this attestation regarding assets sold or transferred during the period of September 1, 2026 through September 30, 2026.</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Reporting Period, the Debtor closed two sales for certain of its assets. First, on August 20, 2026, the Court entered an order [Docket No. 362] approving, among other things, the sale (the “</w:t>
      </w:r>
      <w:r>
        <w:rPr>
          <w:rFonts w:ascii="Times New Roman" w:cs="Times New Roman" w:eastAsia="Times New Roman" w:hAnsi="Times New Roman"/>
          <w:sz w:val="18"/>
          <w:szCs w:val="18"/>
          <w:b w:val="1"/>
          <w:bCs w:val="1"/>
          <w:color w:val="auto"/>
        </w:rPr>
        <w:t>Merope Sale Transaction</w:t>
      </w:r>
      <w:r>
        <w:rPr>
          <w:rFonts w:ascii="Times New Roman" w:cs="Times New Roman" w:eastAsia="Times New Roman" w:hAnsi="Times New Roman"/>
          <w:sz w:val="18"/>
          <w:szCs w:val="18"/>
          <w:color w:val="auto"/>
        </w:rPr>
        <w:t>”) of certain assets to Merope Acquisition Sub, LLC. The Merope Sale Transaction closed on September 4, 2026 [Docket No. 436]. Second, on September 2, 2026, the Court entered an order [Docket No. 426], approving, among other things, the sale (the “</w:t>
      </w:r>
      <w:r>
        <w:rPr>
          <w:rFonts w:ascii="Times New Roman" w:cs="Times New Roman" w:eastAsia="Times New Roman" w:hAnsi="Times New Roman"/>
          <w:sz w:val="18"/>
          <w:szCs w:val="18"/>
          <w:b w:val="1"/>
          <w:bCs w:val="1"/>
          <w:color w:val="auto"/>
        </w:rPr>
        <w:t>Fabry Sale Transaction</w:t>
      </w:r>
      <w:r>
        <w:rPr>
          <w:rFonts w:ascii="Times New Roman" w:cs="Times New Roman" w:eastAsia="Times New Roman" w:hAnsi="Times New Roman"/>
          <w:sz w:val="18"/>
          <w:szCs w:val="18"/>
          <w:color w:val="auto"/>
        </w:rPr>
        <w:t>” and together with the Equipment Sales and the Merope Sale Transaction, the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of certain assets to PTC Therapeutics, Inc. The Fabry Sale Transaction closed on September 17, 2026 [Docket No. 468].</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36"/>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Nikunj Jain</w:t>
            </w:r>
          </w:p>
        </w:tc>
        <w:tc>
          <w:tcPr>
            <w:tcW w:w="8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 Individual</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Nikunj Jain</w:t>
            </w:r>
          </w:p>
        </w:tc>
        <w:tc>
          <w:tcPr>
            <w:tcW w:w="8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of Authorized Individual</w:t>
            </w: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Individual</w:t>
            </w:r>
          </w:p>
        </w:tc>
      </w:tr>
    </w:tbl>
    <w:p>
      <w:pPr>
        <w:sectPr>
          <w:pgSz w:w="11900" w:h="16838" w:orient="portrait"/>
          <w:cols w:equalWidth="0" w:num="1">
            <w:col w:w="11020"/>
          </w:cols>
          <w:pgMar w:left="440" w:top="266" w:right="439" w:bottom="1440" w:gutter="0" w:footer="0" w:header="0"/>
          <w:type w:val="continuous"/>
        </w:sectPr>
      </w:pPr>
    </w:p>
    <w:bookmarkStart w:id="84" w:name="page85"/>
    <w:bookmarkEnd w:id="8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#4 - Statement of cash receipts and disbursements</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08/01/2026 -</w:t>
            </w:r>
          </w:p>
        </w:tc>
        <w:tc>
          <w:tcPr>
            <w:tcW w:w="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09/01/2026 -</w:t>
            </w:r>
          </w:p>
        </w:tc>
        <w:tc>
          <w:tcPr>
            <w:tcW w:w="60" w:type="dxa"/>
            <w:vAlign w:val="bottom"/>
          </w:tcPr>
          <w:p>
            <w:pPr>
              <w:spacing w:after="0"/>
              <w:rPr>
                <w:sz w:val="13"/>
                <w:szCs w:val="13"/>
                <w:color w:val="auto"/>
              </w:rPr>
            </w:pPr>
          </w:p>
        </w:tc>
      </w:tr>
      <w:tr>
        <w:trPr>
          <w:trHeight w:val="171"/>
        </w:trPr>
        <w:tc>
          <w:tcPr>
            <w:tcW w:w="9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08/31/2026</w:t>
            </w:r>
          </w:p>
        </w:tc>
        <w:tc>
          <w:tcPr>
            <w:tcW w:w="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09/30/2026</w:t>
            </w:r>
          </w:p>
        </w:tc>
        <w:tc>
          <w:tcPr>
            <w:tcW w:w="60" w:type="dxa"/>
            <w:vAlign w:val="bottom"/>
          </w:tcPr>
          <w:p>
            <w:pPr>
              <w:spacing w:after="0"/>
              <w:rPr>
                <w:sz w:val="14"/>
                <w:szCs w:val="14"/>
                <w:color w:val="auto"/>
              </w:rPr>
            </w:pPr>
          </w:p>
        </w:tc>
      </w:tr>
      <w:tr>
        <w:trPr>
          <w:trHeight w:val="196"/>
        </w:trPr>
        <w:tc>
          <w:tcPr>
            <w:tcW w:w="910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Receipts</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Receipts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161,394</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DIP Draw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Receipts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161,394</w:t>
            </w:r>
          </w:p>
        </w:tc>
        <w:tc>
          <w:tcPr>
            <w:tcW w:w="6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 Disbursements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Payroll &amp;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Rent &amp; Facilities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Program Costs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Operating Disbursements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6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Operational Disbursements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Disbursements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Fees¹</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11,102</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Trustee Fees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DIP Interest &amp; Fees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DIP Repayments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Sale-related Cure Costs / Break-up Fee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18,381</w:t>
            </w: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KEIP / KERP</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6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Disbursements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40,724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6,319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115,229</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23,226</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138,454</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31" w:lineRule="exact"/>
        <w:rPr>
          <w:sz w:val="20"/>
          <w:szCs w:val="20"/>
          <w:color w:val="auto"/>
        </w:rPr>
      </w:pPr>
    </w:p>
    <w:p>
      <w:pPr>
        <w:jc w:val="right"/>
        <w:ind w:left="5304" w:right="5280" w:hanging="5304"/>
        <w:spacing w:after="0" w:line="368" w:lineRule="auto"/>
        <w:tabs>
          <w:tab w:leader="none" w:pos="438"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a $10,045K disbursement to escrow account per Docket No. 107 1 of 3</w:t>
      </w:r>
    </w:p>
    <w:p>
      <w:pPr>
        <w:sectPr>
          <w:pgSz w:w="11900" w:h="16838" w:orient="portrait"/>
          <w:cols w:equalWidth="0" w:num="1">
            <w:col w:w="11024"/>
          </w:cols>
          <w:pgMar w:left="436" w:top="266" w:right="43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#4 - Balance sheet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08/31/2026</w:t>
            </w:r>
          </w:p>
        </w:tc>
        <w:tc>
          <w:tcPr>
            <w:tcW w:w="4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09/30/2026</w:t>
            </w:r>
          </w:p>
        </w:tc>
        <w:tc>
          <w:tcPr>
            <w:tcW w:w="12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23,197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138,447</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0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Current Assets</w:t>
            </w:r>
            <w:r>
              <w:rPr>
                <w:rFonts w:ascii="Times New Roman" w:cs="Times New Roman" w:eastAsia="Times New Roman" w:hAnsi="Times New Roman"/>
                <w:sz w:val="25"/>
                <w:szCs w:val="25"/>
                <w:color w:val="auto"/>
                <w:vertAlign w:val="superscript"/>
              </w:rPr>
              <w:t>1</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2,111</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3,348</w:t>
            </w:r>
          </w:p>
        </w:tc>
      </w:tr>
      <w:tr>
        <w:trPr>
          <w:trHeight w:val="27"/>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70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25,399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141,885</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115,762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115,762</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Receivables - Non-Current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5,978</w:t>
            </w:r>
          </w:p>
        </w:tc>
      </w:tr>
      <w:tr>
        <w:trPr>
          <w:trHeight w:val="27"/>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70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122,483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122,349</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147,882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264,234</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 and Accrued Liabilities</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44,182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26,392</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 Liabilities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17,397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12,474</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DIP Loan Payables²</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24,942</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17,617</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Liabilities³</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9,723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10,180</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Current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42,903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41,284</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Liabilities³</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14,754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14,364</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I/C Payables - Non-Current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w:t>
            </w:r>
          </w:p>
        </w:tc>
      </w:tr>
      <w:tr>
        <w:trPr>
          <w:trHeight w:val="27"/>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0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154,609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123,004</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1,643,328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1,643,326</w:t>
            </w:r>
          </w:p>
        </w:tc>
      </w:tr>
      <w:tr>
        <w:trPr>
          <w:trHeight w:val="216"/>
        </w:trPr>
        <w:tc>
          <w:tcPr>
            <w:tcW w:w="60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Retained Earnings</w:t>
            </w:r>
            <w:r>
              <w:rPr>
                <w:rFonts w:ascii="Times New Roman" w:cs="Times New Roman" w:eastAsia="Times New Roman" w:hAnsi="Times New Roman"/>
                <w:sz w:val="25"/>
                <w:szCs w:val="25"/>
                <w:color w:val="auto"/>
                <w:vertAlign w:val="superscript"/>
              </w:rPr>
              <w:t>4</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w w:val="97"/>
              </w:rPr>
              <w:t>(1,564,836)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(1,560,669)</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Equity</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(85,190)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58,602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12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6,727)</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141,230</w:t>
            </w:r>
          </w:p>
        </w:tc>
      </w:tr>
      <w:tr>
        <w:trPr>
          <w:trHeight w:val="27"/>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70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147,882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264,234</w:t>
            </w:r>
          </w:p>
        </w:tc>
      </w:tr>
      <w:tr>
        <w:trPr>
          <w:trHeight w:val="20"/>
        </w:trPr>
        <w:tc>
          <w:tcPr>
            <w:tcW w:w="6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D&amp;O insurance amortized over six years; reflects reversal of the prior MOR adjustment</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of $17.55M plus accrued interest of $67K</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Deferred Revenues and Lease Liabilities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prior period KEIP/KERP accrual and D&amp;O insurance adjustment, reclassified to current period results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of 3</w:t>
      </w:r>
    </w:p>
    <w:p>
      <w:pPr>
        <w:sectPr>
          <w:pgSz w:w="11900" w:h="16838" w:orient="portrait"/>
          <w:cols w:equalWidth="0" w:num="1">
            <w:col w:w="11024"/>
          </w:cols>
          <w:pgMar w:left="436" w:top="266" w:right="439" w:bottom="1440" w:gutter="0" w:footer="0" w:header="0"/>
        </w:sectPr>
      </w:pPr>
    </w:p>
    <w:bookmarkStart w:id="86" w:name="page87"/>
    <w:bookmarkEnd w:id="8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Sangamo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MOR #4 - Statement of operations (profit or loss statement)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 in 000s)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08/01/2026 -</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09/01/2026 -</w:t>
            </w:r>
          </w:p>
        </w:tc>
        <w:tc>
          <w:tcPr>
            <w:tcW w:w="120" w:type="dxa"/>
            <w:vAlign w:val="bottom"/>
          </w:tcPr>
          <w:p>
            <w:pPr>
              <w:spacing w:after="0"/>
              <w:rPr>
                <w:sz w:val="13"/>
                <w:szCs w:val="13"/>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08/31/2026</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09/30/2026</w:t>
            </w:r>
          </w:p>
        </w:tc>
        <w:tc>
          <w:tcPr>
            <w:tcW w:w="120" w:type="dxa"/>
            <w:vAlign w:val="bottom"/>
            <w:tcBorders>
              <w:bottom w:val="single" w:sz="8" w:color="CCEEFF"/>
            </w:tcBorders>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$ 161,062</w:t>
            </w:r>
          </w:p>
        </w:tc>
        <w:tc>
          <w:tcPr>
            <w:tcW w:w="120" w:type="dxa"/>
            <w:vAlign w:val="bottom"/>
            <w:shd w:val="clear" w:color="auto" w:fill="CCEEFF"/>
          </w:tcPr>
          <w:p>
            <w:pPr>
              <w:spacing w:after="0"/>
              <w:rPr>
                <w:sz w:val="18"/>
                <w:szCs w:val="18"/>
                <w:color w:val="auto"/>
              </w:rPr>
            </w:pPr>
          </w:p>
        </w:tc>
      </w:tr>
      <w:tr>
        <w:trPr>
          <w:trHeight w:val="223"/>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COGS</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$ 161,062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&amp; Staffing Costs¹</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R&amp;D Expenses²</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Expenses³</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Facilities &amp; OH Expenses¹</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I/C Expenses²</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Expenses²</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r>
              <w:rPr>
                <w:rFonts w:ascii="Arial" w:cs="Arial" w:eastAsia="Arial" w:hAnsi="Arial"/>
                <w:sz w:val="18"/>
                <w:szCs w:val="18"/>
                <w:color w:val="auto"/>
              </w:rPr>
              <w:t>⁴</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14,623</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and/or amortization</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18,079</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FX (Gain)/Loss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2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(Income)/Expense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809)</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14,449</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$ 143,793</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3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under “General and Administrative Expenses” for MOR</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under “Other Expenses” for MOR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$567K credit to D&amp;O insurance expense to reflect amortization over the six-year policy term</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professional and transactions-related fees, and KEIP/KERP</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 of 3</w:t>
      </w:r>
    </w:p>
    <w:p>
      <w:pPr>
        <w:sectPr>
          <w:pgSz w:w="11900" w:h="16838" w:orient="portrait"/>
          <w:cols w:equalWidth="0" w:num="1">
            <w:col w:w="11024"/>
          </w:cols>
          <w:pgMar w:left="436" w:top="266"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26-10989-CTG Sangamo Therapeutics, Inc.</w:t>
      </w:r>
    </w:p>
    <w:p>
      <w:pPr>
        <w:sectPr>
          <w:pgSz w:w="11900" w:h="16838" w:orient="portrait"/>
          <w:cols w:equalWidth="0" w:num="1">
            <w:col w:w="10019"/>
          </w:cols>
          <w:pgMar w:left="440" w:top="266" w:right="1440"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bk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Chapter: 11 v</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Judge: CTG</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1 (Delaware)</w:t>
      </w:r>
    </w:p>
    <w:p>
      <w:pPr>
        <w:spacing w:after="0" w:line="445" w:lineRule="exact"/>
        <w:rPr>
          <w:sz w:val="20"/>
          <w:szCs w:val="20"/>
          <w:color w:val="auto"/>
        </w:rPr>
      </w:pPr>
    </w:p>
    <w:p>
      <w:pPr>
        <w:sectPr>
          <w:pgSz w:w="11900" w:h="16838" w:orient="portrait"/>
          <w:cols w:equalWidth="0" w:num="3">
            <w:col w:w="3260" w:space="720"/>
            <w:col w:w="2920" w:space="720"/>
            <w:col w:w="2399"/>
          </w:cols>
          <w:pgMar w:left="440" w:top="26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Flag: CLMSAGNT, LeadSC, PlnDue, DsclsDue, STANDOrder, SealedDoc(s)</w:t>
      </w:r>
    </w:p>
    <w:p>
      <w:pPr>
        <w:spacing w:after="0" w:line="2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Bankruptcy Court</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District of Delaware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Electronic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 was received from James McCauley entered on 10/23/2026 at 12:21 PM EDT and filed on 10/23/2026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Case Name:</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Sangamo Therapeutics, Inc.</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Case Number:</w:t>
            </w:r>
          </w:p>
        </w:tc>
        <w:tc>
          <w:tcPr>
            <w:tcW w:w="20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26-10989-CTG</w:t>
            </w:r>
          </w:p>
        </w:tc>
      </w:tr>
      <w:tr>
        <w:trPr>
          <w:trHeight w:val="196"/>
        </w:trPr>
        <w:tc>
          <w:tcPr>
            <w:tcW w:w="2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Document Number:</w:t>
            </w:r>
          </w:p>
        </w:tc>
        <w:tc>
          <w:tcPr>
            <w:tcW w:w="2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536</w:t>
            </w:r>
          </w:p>
        </w:tc>
        <w:tc>
          <w:tcPr>
            <w:tcW w:w="8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Docket Text: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Chapter 11 Monthly Operating Report for the Month Ending: 09/30/2026 Filed by Sangamo Therapeutics, Inc .. (McCauley, James)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associated with this transaction: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 description: </w:t>
      </w:r>
      <w:r>
        <w:rPr>
          <w:rFonts w:ascii="Times New Roman" w:cs="Times New Roman" w:eastAsia="Times New Roman" w:hAnsi="Times New Roman"/>
          <w:sz w:val="18"/>
          <w:szCs w:val="18"/>
          <w:color w:val="auto"/>
        </w:rPr>
        <w:t>Main Document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Original filename: </w:t>
      </w:r>
      <w:r>
        <w:rPr>
          <w:rFonts w:ascii="Times New Roman" w:cs="Times New Roman" w:eastAsia="Times New Roman" w:hAnsi="Times New Roman"/>
          <w:sz w:val="18"/>
          <w:szCs w:val="18"/>
          <w:color w:val="auto"/>
        </w:rPr>
        <w:t>SGMO - September MOR 2026.pdf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document Stamp:</w:t>
      </w:r>
    </w:p>
    <w:p>
      <w:pPr>
        <w:spacing w:after="0" w:line="9" w:lineRule="exact"/>
        <w:rPr>
          <w:sz w:val="20"/>
          <w:szCs w:val="20"/>
          <w:color w:val="auto"/>
        </w:rPr>
      </w:pPr>
    </w:p>
    <w:p>
      <w:pPr>
        <w:jc w:val="both"/>
        <w:ind w:right="3999"/>
        <w:spacing w:after="0" w:line="277" w:lineRule="auto"/>
        <w:rPr>
          <w:sz w:val="20"/>
          <w:szCs w:val="20"/>
          <w:color w:val="auto"/>
        </w:rPr>
      </w:pPr>
      <w:r>
        <w:rPr>
          <w:rFonts w:ascii="Times New Roman" w:cs="Times New Roman" w:eastAsia="Times New Roman" w:hAnsi="Times New Roman"/>
          <w:sz w:val="17"/>
          <w:szCs w:val="17"/>
          <w:color w:val="auto"/>
        </w:rPr>
        <w:t>[STAMP bkecfStamp_ID=983460418 [Date=10/23/2026] [FileNumber=20049465-0] [5b5c0f53f7b9e235e00278362d92bbf346ede23d80879b7b544d6e6b51f320d3bf eed250bdd1031fbb3dacd74fa7ffa7ebc8d0d1a9560be5e7f9725c1137aa07]]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26-10989-CTG Notice will be electronically mailed to:</w:t>
      </w:r>
    </w:p>
    <w:p>
      <w:pPr>
        <w:spacing w:after="0" w:line="121" w:lineRule="exact"/>
        <w:rPr>
          <w:sz w:val="20"/>
          <w:szCs w:val="20"/>
          <w:color w:val="auto"/>
        </w:rPr>
      </w:pPr>
    </w:p>
    <w:p>
      <w:pPr>
        <w:ind w:right="4799"/>
        <w:spacing w:after="0" w:line="282" w:lineRule="auto"/>
        <w:rPr>
          <w:sz w:val="20"/>
          <w:szCs w:val="20"/>
          <w:color w:val="auto"/>
        </w:rPr>
      </w:pPr>
      <w:r>
        <w:rPr>
          <w:rFonts w:ascii="Times New Roman" w:cs="Times New Roman" w:eastAsia="Times New Roman" w:hAnsi="Times New Roman"/>
          <w:sz w:val="18"/>
          <w:szCs w:val="18"/>
          <w:color w:val="auto"/>
        </w:rPr>
        <w:t>Jacob A. Adlerstein on behalf of Interested Party Eli Lilly and Company jadlerstein@paulweiss.com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Elihu Ezekiel Allinson, III on behalf of Interested Party Shire Human Genetic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ZAllinson@SHA-LLC.com, ecf@williamdsullivanllc.com;hcoleman@sha-llc.com</w:t>
      </w:r>
    </w:p>
    <w:p>
      <w:pPr>
        <w:spacing w:after="0" w:line="99" w:lineRule="exact"/>
        <w:rPr>
          <w:sz w:val="20"/>
          <w:szCs w:val="20"/>
          <w:color w:val="auto"/>
        </w:rPr>
      </w:pPr>
    </w:p>
    <w:p>
      <w:pPr>
        <w:ind w:right="4179"/>
        <w:spacing w:after="0" w:line="312" w:lineRule="auto"/>
        <w:rPr>
          <w:sz w:val="20"/>
          <w:szCs w:val="20"/>
          <w:color w:val="auto"/>
        </w:rPr>
      </w:pPr>
      <w:r>
        <w:rPr>
          <w:rFonts w:ascii="Times New Roman" w:cs="Times New Roman" w:eastAsia="Times New Roman" w:hAnsi="Times New Roman"/>
          <w:sz w:val="17"/>
          <w:szCs w:val="17"/>
          <w:color w:val="auto"/>
        </w:rPr>
        <w:t>Olya Antle on behalf of Debtor Sangamo Therapeutics, Inc. oantle@cooley.com, efilingnotice@cooley.com;efiling-notice@ecf.pacerpro.com</w:t>
      </w:r>
    </w:p>
    <w:p>
      <w:pPr>
        <w:spacing w:after="0" w:line="32" w:lineRule="exact"/>
        <w:rPr>
          <w:sz w:val="20"/>
          <w:szCs w:val="20"/>
          <w:color w:val="auto"/>
        </w:rPr>
      </w:pPr>
    </w:p>
    <w:p>
      <w:pPr>
        <w:ind w:right="4879"/>
        <w:spacing w:after="0" w:line="312" w:lineRule="auto"/>
        <w:rPr>
          <w:sz w:val="20"/>
          <w:szCs w:val="20"/>
          <w:color w:val="auto"/>
        </w:rPr>
      </w:pPr>
      <w:r>
        <w:rPr>
          <w:rFonts w:ascii="Times New Roman" w:cs="Times New Roman" w:eastAsia="Times New Roman" w:hAnsi="Times New Roman"/>
          <w:sz w:val="17"/>
          <w:szCs w:val="17"/>
          <w:color w:val="auto"/>
        </w:rPr>
        <w:t>Joseph N. Argentina, Jr. on behalf of Creditor VWR International, LLC joseph.argentina@faegredrinker.com, cathy.greer@faegredrinker.com</w:t>
      </w:r>
    </w:p>
    <w:p>
      <w:pPr>
        <w:spacing w:after="0" w:line="32" w:lineRule="exact"/>
        <w:rPr>
          <w:sz w:val="20"/>
          <w:szCs w:val="20"/>
          <w:color w:val="auto"/>
        </w:rPr>
      </w:pPr>
    </w:p>
    <w:p>
      <w:pPr>
        <w:ind w:right="1139"/>
        <w:spacing w:after="0" w:line="282" w:lineRule="auto"/>
        <w:rPr>
          <w:sz w:val="20"/>
          <w:szCs w:val="20"/>
          <w:color w:val="auto"/>
        </w:rPr>
      </w:pPr>
      <w:r>
        <w:rPr>
          <w:rFonts w:ascii="Times New Roman" w:cs="Times New Roman" w:eastAsia="Times New Roman" w:hAnsi="Times New Roman"/>
          <w:sz w:val="18"/>
          <w:szCs w:val="18"/>
          <w:color w:val="auto"/>
        </w:rPr>
        <w:t>Darren Azman on behalf of Creditor Committee Official Committee of Unsecured Creditors of Sangamo Therapeutics, Inc. dazman@mcdermottlaw.com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Brooks on behalf of Interested Party PTC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brooks@lrclaw.com, ramirez@lrclaw.com;huynh@lrclaw.com;hitchens@lrclaw.com;ford@lrclaw.com;kittinger@lrclaw.com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R. Buck on behalf of Interested Party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kbuck@mccarter.com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J. Casey on behalf of U.S. Trustee U.S.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Linda.Casey@usdoj.gov</w:t>
      </w:r>
    </w:p>
    <w:p>
      <w:pPr>
        <w:spacing w:after="0" w:line="99" w:lineRule="exact"/>
        <w:rPr>
          <w:sz w:val="20"/>
          <w:szCs w:val="20"/>
          <w:color w:val="auto"/>
        </w:rPr>
      </w:pPr>
    </w:p>
    <w:p>
      <w:pPr>
        <w:ind w:right="4959"/>
        <w:spacing w:after="0" w:line="312" w:lineRule="auto"/>
        <w:rPr>
          <w:sz w:val="20"/>
          <w:szCs w:val="20"/>
          <w:color w:val="auto"/>
        </w:rPr>
      </w:pPr>
      <w:r>
        <w:rPr>
          <w:rFonts w:ascii="Times New Roman" w:cs="Times New Roman" w:eastAsia="Times New Roman" w:hAnsi="Times New Roman"/>
          <w:sz w:val="17"/>
          <w:szCs w:val="17"/>
          <w:color w:val="auto"/>
        </w:rPr>
        <w:t>Austin Chavez on behalf of Interested Party PTC Therapeutics, Inc. austin.chavez@wilmerhale.com, Mike.McGuinness@wilmerhale.com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M. Christianson on behalf of Creditor Oracle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schristianson@buchalter.com, cmcintire@buchalter.com</w:t>
      </w:r>
    </w:p>
    <w:p>
      <w:pPr>
        <w:spacing w:after="0" w:line="99" w:lineRule="exact"/>
        <w:rPr>
          <w:sz w:val="20"/>
          <w:szCs w:val="20"/>
          <w:color w:val="auto"/>
        </w:rPr>
      </w:pPr>
    </w:p>
    <w:p>
      <w:pPr>
        <w:ind w:right="4839"/>
        <w:spacing w:after="0" w:line="282" w:lineRule="auto"/>
        <w:rPr>
          <w:sz w:val="20"/>
          <w:szCs w:val="20"/>
          <w:color w:val="auto"/>
        </w:rPr>
      </w:pPr>
      <w:r>
        <w:rPr>
          <w:rFonts w:ascii="Times New Roman" w:cs="Times New Roman" w:eastAsia="Times New Roman" w:hAnsi="Times New Roman"/>
          <w:sz w:val="18"/>
          <w:szCs w:val="18"/>
          <w:color w:val="auto"/>
        </w:rPr>
        <w:t>James A. Copeland on behalf of Interested Party Northridge ATM, LLC james.copeland@nortonrosefulbright.com</w:t>
      </w:r>
    </w:p>
    <w:p>
      <w:pPr>
        <w:spacing w:after="0" w:line="54" w:lineRule="exact"/>
        <w:rPr>
          <w:sz w:val="20"/>
          <w:szCs w:val="20"/>
          <w:color w:val="auto"/>
        </w:rPr>
      </w:pPr>
    </w:p>
    <w:p>
      <w:pPr>
        <w:ind w:right="3939"/>
        <w:spacing w:after="0" w:line="312" w:lineRule="auto"/>
        <w:rPr>
          <w:sz w:val="20"/>
          <w:szCs w:val="20"/>
          <w:color w:val="auto"/>
        </w:rPr>
      </w:pPr>
      <w:r>
        <w:rPr>
          <w:rFonts w:ascii="Times New Roman" w:cs="Times New Roman" w:eastAsia="Times New Roman" w:hAnsi="Times New Roman"/>
          <w:sz w:val="17"/>
          <w:szCs w:val="17"/>
          <w:color w:val="auto"/>
        </w:rPr>
        <w:t>Kristin Cunningham on behalf of Debtor Sangamo Therapeutics, Inc. cunningham@rlf.com, rbgroup@rlf.com;rebecca – speaker-6328@ecf.pacerpro.com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DeFranceschi on behalf of Debtor 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defranceschi@rlf.com, RBGroup@rlf.com;ann-jerominski-2390@ecf.pacerpro.com;rebecca--speaker-6328@ecf.pacerpro.com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Dehney on behalf of Interested Party Eli Lilly and Company</w:t>
      </w:r>
    </w:p>
    <w:p>
      <w:pPr>
        <w:spacing w:after="0" w:line="27" w:lineRule="exact"/>
        <w:rPr>
          <w:sz w:val="20"/>
          <w:szCs w:val="20"/>
          <w:color w:val="auto"/>
        </w:rPr>
      </w:pPr>
    </w:p>
    <w:p>
      <w:pPr>
        <w:ind w:right="1599"/>
        <w:spacing w:after="0" w:line="260" w:lineRule="auto"/>
        <w:rPr>
          <w:sz w:val="20"/>
          <w:szCs w:val="20"/>
          <w:color w:val="auto"/>
        </w:rPr>
      </w:pPr>
      <w:r>
        <w:rPr>
          <w:rFonts w:ascii="Times New Roman" w:cs="Times New Roman" w:eastAsia="Times New Roman" w:hAnsi="Times New Roman"/>
          <w:sz w:val="18"/>
          <w:szCs w:val="18"/>
          <w:color w:val="auto"/>
        </w:rPr>
        <w:t>rdehney@morrisnichols.com, robert-dehney-4464@ecf.pacerpro.com;jlawrence@morrisnichols.com;john-lawrence-0804@ecf.pacerpro.com;rchevli@morrisnichols.com;radha--chevli--2257@ecf.pacerpro.com</w:t>
      </w:r>
    </w:p>
    <w:p>
      <w:pPr>
        <w:spacing w:after="0" w:line="73" w:lineRule="exact"/>
        <w:rPr>
          <w:sz w:val="20"/>
          <w:szCs w:val="20"/>
          <w:color w:val="auto"/>
        </w:rPr>
      </w:pPr>
    </w:p>
    <w:p>
      <w:pPr>
        <w:ind w:right="1019"/>
        <w:spacing w:after="0" w:line="289" w:lineRule="auto"/>
        <w:rPr>
          <w:sz w:val="20"/>
          <w:szCs w:val="20"/>
          <w:color w:val="auto"/>
        </w:rPr>
      </w:pPr>
      <w:r>
        <w:rPr>
          <w:rFonts w:ascii="Times New Roman" w:cs="Times New Roman" w:eastAsia="Times New Roman" w:hAnsi="Times New Roman"/>
          <w:sz w:val="17"/>
          <w:szCs w:val="17"/>
          <w:color w:val="auto"/>
        </w:rPr>
        <w:t>Brenna Anne Dolphin on behalf of Interested Party Eli Lilly and Company bdolphin@morrisnichols.com, brenna-dolphin-9491@ecf.pacerpro.com;john-lawrence-0804@ecf.pacerpro.com:ilawrence@morrisnichols.com:rchevli@morrisnichols.com;radha--chevli--2257@ecf.pacerpro.com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C. Ehrmann on behalf of Interested Party Northridge ATM, LLC</w:t>
      </w:r>
    </w:p>
    <w:sectPr>
      <w:pgSz w:w="11900" w:h="16838" w:orient="portrait"/>
      <w:cols w:equalWidth="0" w:num="1">
        <w:col w:w="10019"/>
      </w:cols>
      <w:pgMar w:left="440" w:top="266"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1."/>
      <w:numFmt w:val="decimal"/>
      <w:start w:val="1"/>
    </w:lvl>
    <w:lvl w:ilvl="1">
      <w:lvlJc w:val="left"/>
      <w:lvlText w:val="%2."/>
      <w:numFmt w:val="lowerLetter"/>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1)"/>
      <w:numFmt w:val="upperLetter"/>
      <w:start w:val="4"/>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2026-10-27T15:04:37Z</dcterms:created>
  <dcterms:modified xsi:type="dcterms:W3CDTF">2026-10-27T15:04:37Z</dcterms:modified>
</cp:coreProperties>
</file>