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Willoughby Scott B.</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SANGAMO THERAPEUTICS, INC.</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501 CANAL BLVD.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38" w:lineRule="auto"/>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SANGAMO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SGMO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6"/>
          <w:szCs w:val="16"/>
          <w:color w:val="0000FF"/>
        </w:rPr>
        <w:t>SVP, CHIEF LEGAL OFFICER, SECY</w:t>
      </w:r>
    </w:p>
    <w:p>
      <w:pPr>
        <w:spacing w:after="0" w:line="439" w:lineRule="exact"/>
        <w:rPr>
          <w:sz w:val="24"/>
          <w:szCs w:val="24"/>
          <w:color w:val="auto"/>
        </w:rPr>
      </w:pPr>
    </w:p>
    <w:p>
      <w:pPr>
        <w:sectPr>
          <w:pgSz w:w="11900" w:h="16838" w:orient="portrait"/>
          <w:cols w:equalWidth="0" w:num="3">
            <w:col w:w="3180" w:space="720"/>
            <w:col w:w="3680" w:space="155"/>
            <w:col w:w="3345"/>
          </w:cols>
          <w:pgMar w:left="460" w:top="216" w:right="35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RICHMOND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94084</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0.2601</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04/01/2026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03/31/2036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800,000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800,000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90"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One-quarter (1/4) of the shares subject to the option will vest and become exercisable on the first anniversary of the grant date, and the remainder of the shares will vest and become exercisable in 24 successive equal monthly installments thereafter, subject to the Reporting Person's Continuous Service (as defined in the 2018 EIP) through each such date and subject to acceleration as provided in the 2018 EIP.</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Scott Willoughby</w:t>
            </w:r>
          </w:p>
        </w:tc>
        <w:tc>
          <w:tcPr>
            <w:tcW w:w="84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2"/>
              </w:rPr>
              <w:t>04/03/2026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7368" TargetMode="External"/><Relationship Id="rId14" Type="http://schemas.openxmlformats.org/officeDocument/2006/relationships/hyperlink" Target="http://www.sec.gov/cgi-bin/browse-edgar?action=getcompany&amp;CIK=00010012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2026-04-03T15:16:40Z</dcterms:created>
  <dcterms:modified xsi:type="dcterms:W3CDTF">2026-04-03T15:16:40Z</dcterms:modified>
</cp:coreProperties>
</file>