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Willoughby Scott B.</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SANGAMO THERAPEUTICS,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501 CANAL BLVD.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94804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SANGAMO THERAPEUTICS,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SGMO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260"/>
              <w:spacing w:after="0" w:line="185" w:lineRule="exact"/>
              <w:rPr>
                <w:sz w:val="20"/>
                <w:szCs w:val="20"/>
                <w:color w:val="auto"/>
              </w:rPr>
            </w:pPr>
            <w:r>
              <w:rPr>
                <w:rFonts w:ascii="Times New Roman" w:cs="Times New Roman" w:eastAsia="Times New Roman" w:hAnsi="Times New Roman"/>
                <w:sz w:val="17"/>
                <w:szCs w:val="17"/>
                <w:color w:val="0000FF"/>
              </w:rPr>
              <w:t>SVP, CHIEF LEGAL OFFICER, SECY</w:t>
            </w:r>
          </w:p>
        </w:tc>
        <w:tc>
          <w:tcPr>
            <w:tcW w:w="0" w:type="dxa"/>
            <w:vAlign w:val="bottom"/>
          </w:tcPr>
          <w:p>
            <w:pPr>
              <w:spacing w:after="0"/>
              <w:rPr>
                <w:sz w:val="1"/>
                <w:szCs w:val="1"/>
                <w:color w:val="auto"/>
              </w:rPr>
            </w:pPr>
          </w:p>
        </w:tc>
      </w:tr>
      <w:tr>
        <w:trPr>
          <w:trHeight w:val="226"/>
        </w:trPr>
        <w:tc>
          <w:tcPr>
            <w:tcW w:w="3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05/25/2026</w:t>
            </w:r>
          </w:p>
        </w:tc>
        <w:tc>
          <w:tcPr>
            <w:tcW w:w="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05/25/2026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4,036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0.1743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647,370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the portion of an RSU grant that vested on May 25, 2026, which were surrendered by the Reporting Person solely for mandatory tax withholding purposes using the Issuer's closing stock price on May 25, 2026 of $0.1743/share, pursuant to the terms of the 2018 EIP. This required tax withholding transaction is deemed to constitute a disposition of these shares to the Issuer for reporting purposes and does not represent a discretionary trade by the Reporting Person in the open market or otherwise.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7,214 shares from the May 25, 2026 vesting installment of the Reporting Person's February 25, 2025 RSU grant and the remaining 78,750 shares will vest in 7 successive equal quarterly installments thereafter. The vesting of all such RSU grants is subject to the Reporting Person's Continuous Service (as defined in the 2018 EIP) through each such date and subject to acceleration as provided in the 2018 EIP.</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Scott Willoughby</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7368" TargetMode="External"/><Relationship Id="rId14" Type="http://schemas.openxmlformats.org/officeDocument/2006/relationships/hyperlink" Target="http://www.sec.gov/cgi-bin/browse-edgar?action=getcompany&amp;CIK=0001001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2026-05-27T18:31:38Z</dcterms:created>
  <dcterms:modified xsi:type="dcterms:W3CDTF">2026-05-27T18:31:38Z</dcterms:modified>
</cp:coreProperties>
</file>